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CF3E9E" w14:textId="7B39D54D" w:rsidR="000021E0" w:rsidRPr="00A34FDC" w:rsidRDefault="00606C64" w:rsidP="008F3850">
      <w:pPr>
        <w:pStyle w:val="Heading1"/>
      </w:pPr>
      <w:r w:rsidRPr="00A34FDC">
        <w:t>Proposal: Using language rights to advocate for braille</w:t>
      </w:r>
    </w:p>
    <w:p w14:paraId="37CE5B2D" w14:textId="31DA0F64" w:rsidR="008F3850" w:rsidRPr="00803D37" w:rsidRDefault="008F3850" w:rsidP="008F3850">
      <w:pPr>
        <w:jc w:val="right"/>
        <w:rPr>
          <w:rFonts w:cs="Calibri"/>
        </w:rPr>
      </w:pPr>
      <w:r w:rsidRPr="00A34FDC">
        <w:rPr>
          <w:rFonts w:cs="Calibri"/>
        </w:rPr>
        <w:t>Jodie Lea Martire</w:t>
      </w:r>
      <w:r w:rsidR="00051F57" w:rsidRPr="00A34FDC">
        <w:rPr>
          <w:rFonts w:cs="Calibri"/>
        </w:rPr>
        <w:t xml:space="preserve"> (</w:t>
      </w:r>
      <w:hyperlink r:id="rId7" w:history="1">
        <w:r w:rsidR="00051F57" w:rsidRPr="00A34FDC">
          <w:rPr>
            <w:rStyle w:val="Hyperlink"/>
          </w:rPr>
          <w:t>j.martire@uqconnect.edu.au</w:t>
        </w:r>
      </w:hyperlink>
      <w:r w:rsidR="00051F57" w:rsidRPr="00A34FDC">
        <w:rPr>
          <w:rStyle w:val="Hyperlink"/>
        </w:rPr>
        <w:t>)</w:t>
      </w:r>
      <w:r w:rsidRPr="00A34FDC">
        <w:rPr>
          <w:rFonts w:cs="Calibri"/>
        </w:rPr>
        <w:br/>
        <w:t>PhD candidate at The University of Queensland</w:t>
      </w:r>
      <w:r w:rsidRPr="00A34FDC">
        <w:rPr>
          <w:rFonts w:cs="Calibri"/>
        </w:rPr>
        <w:br/>
      </w:r>
      <w:r w:rsidR="0050317E" w:rsidRPr="00A34FDC">
        <w:t>July 2024</w:t>
      </w:r>
    </w:p>
    <w:p w14:paraId="1995B6E6" w14:textId="043B0485" w:rsidR="00841751" w:rsidRPr="00A34FDC" w:rsidRDefault="0050317E" w:rsidP="0050317E">
      <w:pPr>
        <w:rPr>
          <w:rFonts w:cs="Calibri"/>
        </w:rPr>
      </w:pPr>
      <w:r w:rsidRPr="00A34FDC">
        <w:rPr>
          <w:rFonts w:cs="Calibri"/>
        </w:rPr>
        <w:t>This document makes a respectful proposal to the blindness community that, in addition to the Convention of the Rights of Persons with Disabilities</w:t>
      </w:r>
      <w:r w:rsidR="00CB09D7" w:rsidRPr="00A34FDC">
        <w:rPr>
          <w:rFonts w:cs="Calibri"/>
        </w:rPr>
        <w:t xml:space="preserve"> (CRPD)</w:t>
      </w:r>
      <w:r w:rsidRPr="00A34FDC">
        <w:rPr>
          <w:rFonts w:cs="Calibri"/>
        </w:rPr>
        <w:t xml:space="preserve">, there may be another international legal </w:t>
      </w:r>
      <w:r w:rsidR="009321DD" w:rsidRPr="00A34FDC">
        <w:rPr>
          <w:rFonts w:cs="Calibri"/>
        </w:rPr>
        <w:t>structure</w:t>
      </w:r>
      <w:r w:rsidRPr="00A34FDC">
        <w:rPr>
          <w:rFonts w:cs="Calibri"/>
        </w:rPr>
        <w:t xml:space="preserve"> that can be used to advocate for greater access to braille for blind, deaf-blind and low-vision people. This </w:t>
      </w:r>
      <w:r w:rsidR="009321DD" w:rsidRPr="00A34FDC">
        <w:rPr>
          <w:rFonts w:cs="Calibri"/>
        </w:rPr>
        <w:t>framework</w:t>
      </w:r>
      <w:r w:rsidR="00E46941">
        <w:rPr>
          <w:rFonts w:cs="Calibri"/>
        </w:rPr>
        <w:t xml:space="preserve"> is</w:t>
      </w:r>
      <w:r w:rsidR="009321DD" w:rsidRPr="00A34FDC">
        <w:rPr>
          <w:rFonts w:cs="Calibri"/>
        </w:rPr>
        <w:t xml:space="preserve"> </w:t>
      </w:r>
      <w:r w:rsidRPr="00A34FDC">
        <w:rPr>
          <w:rFonts w:cs="Calibri"/>
        </w:rPr>
        <w:t xml:space="preserve">language rights, which </w:t>
      </w:r>
      <w:r w:rsidR="008F3850" w:rsidRPr="00A34FDC">
        <w:rPr>
          <w:rFonts w:cs="Calibri"/>
        </w:rPr>
        <w:t>are the human rights of an individual or community in relation to their ancestral or preferred language. This document explain</w:t>
      </w:r>
      <w:r w:rsidRPr="00A34FDC">
        <w:rPr>
          <w:rFonts w:cs="Calibri"/>
        </w:rPr>
        <w:t>s</w:t>
      </w:r>
      <w:r w:rsidR="008F3850" w:rsidRPr="00A34FDC">
        <w:rPr>
          <w:rFonts w:cs="Calibri"/>
        </w:rPr>
        <w:t xml:space="preserve"> what language rights are and how they are relevant to braille</w:t>
      </w:r>
      <w:r w:rsidR="009321DD" w:rsidRPr="00A34FDC">
        <w:rPr>
          <w:rFonts w:cs="Calibri"/>
        </w:rPr>
        <w:t xml:space="preserve">. </w:t>
      </w:r>
      <w:r w:rsidRPr="00A34FDC">
        <w:rPr>
          <w:rFonts w:cs="Calibri"/>
        </w:rPr>
        <w:t xml:space="preserve">It also describes </w:t>
      </w:r>
      <w:r w:rsidR="008F3850" w:rsidRPr="00A34FDC">
        <w:rPr>
          <w:rFonts w:cs="Calibri"/>
        </w:rPr>
        <w:t>international language</w:t>
      </w:r>
      <w:r w:rsidR="009321DD" w:rsidRPr="00A34FDC">
        <w:rPr>
          <w:rFonts w:cs="Calibri"/>
        </w:rPr>
        <w:t>-</w:t>
      </w:r>
      <w:r w:rsidR="008F3850" w:rsidRPr="00A34FDC">
        <w:rPr>
          <w:rFonts w:cs="Calibri"/>
        </w:rPr>
        <w:t xml:space="preserve">rights </w:t>
      </w:r>
      <w:r w:rsidR="009321DD" w:rsidRPr="00A34FDC">
        <w:rPr>
          <w:rFonts w:cs="Calibri"/>
        </w:rPr>
        <w:t xml:space="preserve">systems </w:t>
      </w:r>
      <w:r w:rsidR="008F3850" w:rsidRPr="00A34FDC">
        <w:rPr>
          <w:rFonts w:cs="Calibri"/>
        </w:rPr>
        <w:t xml:space="preserve">and </w:t>
      </w:r>
      <w:r w:rsidR="0057457F" w:rsidRPr="00A34FDC">
        <w:rPr>
          <w:rFonts w:cs="Calibri"/>
        </w:rPr>
        <w:t>shares</w:t>
      </w:r>
      <w:r w:rsidR="008F3850" w:rsidRPr="00A34FDC">
        <w:rPr>
          <w:rFonts w:cs="Calibri"/>
        </w:rPr>
        <w:t xml:space="preserve"> resources and organisations </w:t>
      </w:r>
      <w:r w:rsidRPr="00A34FDC">
        <w:rPr>
          <w:rFonts w:cs="Calibri"/>
        </w:rPr>
        <w:t>which support the defence of language rights</w:t>
      </w:r>
      <w:r w:rsidR="008F3850" w:rsidRPr="00A34FDC">
        <w:rPr>
          <w:rFonts w:cs="Calibri"/>
        </w:rPr>
        <w:t>.</w:t>
      </w:r>
    </w:p>
    <w:p w14:paraId="64167835" w14:textId="371C29EE" w:rsidR="0050317E" w:rsidRPr="00803D37" w:rsidRDefault="00225C29" w:rsidP="0050317E">
      <w:r w:rsidRPr="00A34FDC">
        <w:rPr>
          <w:rFonts w:cs="Calibri"/>
        </w:rPr>
        <w:t>If b</w:t>
      </w:r>
      <w:r w:rsidR="00803D37" w:rsidRPr="00803D37">
        <w:rPr>
          <w:rFonts w:cs="Calibri"/>
        </w:rPr>
        <w:t xml:space="preserve">raille </w:t>
      </w:r>
      <w:r w:rsidRPr="00A34FDC">
        <w:rPr>
          <w:rFonts w:cs="Calibri"/>
        </w:rPr>
        <w:t xml:space="preserve">is </w:t>
      </w:r>
      <w:r w:rsidR="00774DBC" w:rsidRPr="00A34FDC">
        <w:rPr>
          <w:rFonts w:cs="Calibri"/>
        </w:rPr>
        <w:t>termed</w:t>
      </w:r>
      <w:r w:rsidR="00803D37" w:rsidRPr="00803D37">
        <w:rPr>
          <w:rFonts w:cs="Calibri"/>
        </w:rPr>
        <w:t xml:space="preserve"> a </w:t>
      </w:r>
      <w:r w:rsidR="00774DBC" w:rsidRPr="00A34FDC">
        <w:rPr>
          <w:rFonts w:cs="Calibri"/>
        </w:rPr>
        <w:t>“</w:t>
      </w:r>
      <w:r w:rsidR="00803D37" w:rsidRPr="00803D37">
        <w:rPr>
          <w:rFonts w:cs="Calibri"/>
        </w:rPr>
        <w:t>writing system</w:t>
      </w:r>
      <w:r w:rsidR="00774DBC" w:rsidRPr="00A34FDC">
        <w:rPr>
          <w:rFonts w:cs="Calibri"/>
        </w:rPr>
        <w:t>”</w:t>
      </w:r>
      <w:r w:rsidRPr="00A34FDC">
        <w:rPr>
          <w:rFonts w:cs="Calibri"/>
        </w:rPr>
        <w:t xml:space="preserve"> instead of a code, this makes</w:t>
      </w:r>
      <w:r w:rsidR="00803D37" w:rsidRPr="00803D37">
        <w:rPr>
          <w:rFonts w:cs="Calibri"/>
        </w:rPr>
        <w:t xml:space="preserve"> it part of </w:t>
      </w:r>
      <w:r w:rsidR="00774DBC" w:rsidRPr="00A34FDC">
        <w:rPr>
          <w:rFonts w:cs="Calibri"/>
        </w:rPr>
        <w:t>“</w:t>
      </w:r>
      <w:r w:rsidR="00803D37" w:rsidRPr="00803D37">
        <w:rPr>
          <w:rFonts w:cs="Calibri"/>
        </w:rPr>
        <w:t>language</w:t>
      </w:r>
      <w:r w:rsidR="00774DBC" w:rsidRPr="00A34FDC">
        <w:rPr>
          <w:rFonts w:cs="Calibri"/>
        </w:rPr>
        <w:t>”</w:t>
      </w:r>
      <w:r w:rsidRPr="00A34FDC">
        <w:rPr>
          <w:rFonts w:cs="Calibri"/>
        </w:rPr>
        <w:t xml:space="preserve"> more broadly, and it is therefore protected by </w:t>
      </w:r>
      <w:r w:rsidR="00774DBC" w:rsidRPr="00A34FDC">
        <w:rPr>
          <w:rFonts w:cs="Calibri"/>
        </w:rPr>
        <w:t>“</w:t>
      </w:r>
      <w:r w:rsidR="00803D37" w:rsidRPr="00803D37">
        <w:rPr>
          <w:rFonts w:cs="Calibri"/>
        </w:rPr>
        <w:t>language rights</w:t>
      </w:r>
      <w:r w:rsidR="00774DBC" w:rsidRPr="00A34FDC">
        <w:rPr>
          <w:rFonts w:cs="Calibri"/>
        </w:rPr>
        <w:t>”</w:t>
      </w:r>
      <w:r w:rsidRPr="00A34FDC">
        <w:rPr>
          <w:rFonts w:cs="Calibri"/>
        </w:rPr>
        <w:t xml:space="preserve">. But </w:t>
      </w:r>
      <w:r w:rsidR="008F3850" w:rsidRPr="00A34FDC">
        <w:rPr>
          <w:rFonts w:cs="Calibri"/>
        </w:rPr>
        <w:t xml:space="preserve">why </w:t>
      </w:r>
      <w:r w:rsidRPr="00A34FDC">
        <w:rPr>
          <w:rFonts w:cs="Calibri"/>
        </w:rPr>
        <w:t xml:space="preserve">can </w:t>
      </w:r>
      <w:r w:rsidR="008F3850" w:rsidRPr="00A34FDC">
        <w:rPr>
          <w:rFonts w:cs="Calibri"/>
        </w:rPr>
        <w:t>braille be considered a writing system</w:t>
      </w:r>
      <w:r w:rsidRPr="00A34FDC">
        <w:rPr>
          <w:rFonts w:cs="Calibri"/>
        </w:rPr>
        <w:t>?</w:t>
      </w:r>
      <w:r w:rsidR="008F3850" w:rsidRPr="00A34FDC">
        <w:rPr>
          <w:rFonts w:cs="Calibri"/>
        </w:rPr>
        <w:t xml:space="preserve"> </w:t>
      </w:r>
      <w:r w:rsidRPr="00A34FDC">
        <w:rPr>
          <w:rFonts w:cs="Calibri"/>
        </w:rPr>
        <w:t xml:space="preserve">First, </w:t>
      </w:r>
      <w:r w:rsidR="00841751" w:rsidRPr="00A34FDC">
        <w:rPr>
          <w:rFonts w:cs="Calibri"/>
        </w:rPr>
        <w:t xml:space="preserve">Dr Robert Englebretson, who devised the International Phonetic Alphabet in braille </w:t>
      </w:r>
      <w:r w:rsidR="001C4DAB" w:rsidRPr="00A34FDC">
        <w:t>(Englebretson, 2008)</w:t>
      </w:r>
      <w:r w:rsidR="00841751" w:rsidRPr="00A34FDC">
        <w:rPr>
          <w:rFonts w:cs="Calibri"/>
        </w:rPr>
        <w:t xml:space="preserve">, has written with colleagues that </w:t>
      </w:r>
      <w:r w:rsidR="00774DBC" w:rsidRPr="00A34FDC">
        <w:rPr>
          <w:rFonts w:cs="Calibri"/>
        </w:rPr>
        <w:t>“</w:t>
      </w:r>
      <w:r w:rsidR="00803D37" w:rsidRPr="00803D37">
        <w:rPr>
          <w:rFonts w:cs="Calibri"/>
        </w:rPr>
        <w:t>braille [is] a writing system worthy of study in its own right and on its own terms</w:t>
      </w:r>
      <w:r w:rsidR="00774DBC" w:rsidRPr="00A34FDC">
        <w:rPr>
          <w:rFonts w:cs="Calibri"/>
        </w:rPr>
        <w:t>”</w:t>
      </w:r>
      <w:r w:rsidR="00803D37" w:rsidRPr="00803D37">
        <w:rPr>
          <w:rFonts w:cs="Calibri"/>
        </w:rPr>
        <w:t xml:space="preserve"> </w:t>
      </w:r>
      <w:r w:rsidR="001C4DAB" w:rsidRPr="00A34FDC">
        <w:t>(Englebretson et al., 2023, p. 400)</w:t>
      </w:r>
      <w:r w:rsidR="00841751" w:rsidRPr="00A34FDC">
        <w:rPr>
          <w:rFonts w:cs="Calibri"/>
        </w:rPr>
        <w:t xml:space="preserve">. His team also urged that </w:t>
      </w:r>
      <w:r w:rsidR="00E46941">
        <w:rPr>
          <w:rFonts w:cs="Calibri"/>
        </w:rPr>
        <w:t>b</w:t>
      </w:r>
      <w:r w:rsidR="00803D37" w:rsidRPr="00803D37">
        <w:rPr>
          <w:rFonts w:cs="Calibri"/>
        </w:rPr>
        <w:t xml:space="preserve">raille teachers should </w:t>
      </w:r>
      <w:r w:rsidR="00774DBC" w:rsidRPr="00A34FDC">
        <w:rPr>
          <w:rFonts w:cs="Calibri"/>
        </w:rPr>
        <w:t>“</w:t>
      </w:r>
      <w:r w:rsidR="00803D37" w:rsidRPr="00803D37">
        <w:rPr>
          <w:rFonts w:cs="Calibri"/>
        </w:rPr>
        <w:t>conceptualize braille as a native writing system, parallel to, equal to, and not dependent on, print</w:t>
      </w:r>
      <w:r w:rsidR="00774DBC" w:rsidRPr="00A34FDC">
        <w:rPr>
          <w:rFonts w:cs="Calibri"/>
        </w:rPr>
        <w:t>”</w:t>
      </w:r>
      <w:r w:rsidR="00803D37" w:rsidRPr="00803D37">
        <w:rPr>
          <w:rFonts w:cs="Calibri"/>
        </w:rPr>
        <w:t xml:space="preserve"> (p. 409)</w:t>
      </w:r>
      <w:r w:rsidR="00841751" w:rsidRPr="00A34FDC">
        <w:rPr>
          <w:rFonts w:cs="Calibri"/>
        </w:rPr>
        <w:t xml:space="preserve">. </w:t>
      </w:r>
      <w:r w:rsidRPr="00A34FDC">
        <w:rPr>
          <w:rFonts w:cs="Calibri"/>
        </w:rPr>
        <w:t>Second, g</w:t>
      </w:r>
      <w:r w:rsidR="00841751" w:rsidRPr="00A34FDC">
        <w:rPr>
          <w:rFonts w:cs="Calibri"/>
        </w:rPr>
        <w:t>rapholinguists</w:t>
      </w:r>
      <w:r w:rsidRPr="00A34FDC">
        <w:rPr>
          <w:rFonts w:cs="Calibri"/>
        </w:rPr>
        <w:t xml:space="preserve"> (</w:t>
      </w:r>
      <w:r w:rsidR="00841751" w:rsidRPr="00A34FDC">
        <w:rPr>
          <w:rFonts w:cs="Calibri"/>
        </w:rPr>
        <w:t>linguists who study writing</w:t>
      </w:r>
      <w:r w:rsidRPr="00A34FDC">
        <w:rPr>
          <w:rFonts w:cs="Calibri"/>
        </w:rPr>
        <w:t>)</w:t>
      </w:r>
      <w:r w:rsidR="00841751" w:rsidRPr="00A34FDC">
        <w:rPr>
          <w:rFonts w:cs="Calibri"/>
        </w:rPr>
        <w:t xml:space="preserve"> also </w:t>
      </w:r>
      <w:r w:rsidRPr="00A34FDC">
        <w:rPr>
          <w:rFonts w:cs="Calibri"/>
        </w:rPr>
        <w:t xml:space="preserve">see </w:t>
      </w:r>
      <w:r w:rsidR="00841751" w:rsidRPr="00A34FDC">
        <w:rPr>
          <w:rFonts w:cs="Calibri"/>
        </w:rPr>
        <w:t xml:space="preserve">braille </w:t>
      </w:r>
      <w:r w:rsidR="00774DBC" w:rsidRPr="00A34FDC">
        <w:rPr>
          <w:rFonts w:cs="Calibri"/>
        </w:rPr>
        <w:t xml:space="preserve">as </w:t>
      </w:r>
      <w:r w:rsidR="00841751" w:rsidRPr="00A34FDC">
        <w:rPr>
          <w:rFonts w:cs="Calibri"/>
        </w:rPr>
        <w:t xml:space="preserve">a writing system </w:t>
      </w:r>
      <w:r w:rsidR="001C4DAB" w:rsidRPr="00A34FDC">
        <w:rPr>
          <w:rFonts w:cs="Calibri"/>
        </w:rPr>
        <w:t>(Iyengar, 2023)</w:t>
      </w:r>
      <w:r w:rsidR="00841751" w:rsidRPr="00A34FDC">
        <w:rPr>
          <w:rFonts w:cs="Calibri"/>
        </w:rPr>
        <w:t xml:space="preserve">. They </w:t>
      </w:r>
      <w:r w:rsidR="0050317E" w:rsidRPr="00A34FDC">
        <w:rPr>
          <w:rFonts w:cs="Calibri"/>
        </w:rPr>
        <w:t>define</w:t>
      </w:r>
      <w:r w:rsidR="00841751" w:rsidRPr="00A34FDC">
        <w:rPr>
          <w:rFonts w:cs="Calibri"/>
        </w:rPr>
        <w:t xml:space="preserve"> a </w:t>
      </w:r>
      <w:r w:rsidR="00774DBC" w:rsidRPr="00A34FDC">
        <w:rPr>
          <w:rFonts w:cs="Calibri"/>
        </w:rPr>
        <w:t>“</w:t>
      </w:r>
      <w:r w:rsidR="00841751" w:rsidRPr="00A34FDC">
        <w:rPr>
          <w:rFonts w:cs="Calibri"/>
        </w:rPr>
        <w:t>language</w:t>
      </w:r>
      <w:r w:rsidR="00774DBC" w:rsidRPr="00A34FDC">
        <w:rPr>
          <w:rFonts w:cs="Calibri"/>
        </w:rPr>
        <w:t>”</w:t>
      </w:r>
      <w:r w:rsidR="00841751" w:rsidRPr="00A34FDC">
        <w:rPr>
          <w:rFonts w:cs="Calibri"/>
        </w:rPr>
        <w:t xml:space="preserve"> as a collection of sounds or hand signs (like English or Auslan) and a </w:t>
      </w:r>
      <w:r w:rsidR="00774DBC" w:rsidRPr="00A34FDC">
        <w:rPr>
          <w:rFonts w:cs="Calibri"/>
        </w:rPr>
        <w:t>“</w:t>
      </w:r>
      <w:r w:rsidR="00841751" w:rsidRPr="00A34FDC">
        <w:rPr>
          <w:rFonts w:cs="Calibri"/>
        </w:rPr>
        <w:t>script</w:t>
      </w:r>
      <w:r w:rsidR="00774DBC" w:rsidRPr="00A34FDC">
        <w:rPr>
          <w:rFonts w:cs="Calibri"/>
        </w:rPr>
        <w:t>”</w:t>
      </w:r>
      <w:r w:rsidR="00841751" w:rsidRPr="00A34FDC">
        <w:rPr>
          <w:rFonts w:cs="Calibri"/>
        </w:rPr>
        <w:t xml:space="preserve"> as a collection of written symbols (like </w:t>
      </w:r>
      <w:r w:rsidR="00E46941">
        <w:rPr>
          <w:rFonts w:cs="Calibri"/>
        </w:rPr>
        <w:t xml:space="preserve">braille, or </w:t>
      </w:r>
      <w:r w:rsidR="00841751" w:rsidRPr="00A34FDC">
        <w:rPr>
          <w:rFonts w:cs="Calibri"/>
        </w:rPr>
        <w:t>the Latin alphabet that I</w:t>
      </w:r>
      <w:r w:rsidR="0013346C">
        <w:rPr>
          <w:rFonts w:cs="Calibri"/>
        </w:rPr>
        <w:t xml:space="preserve"> originally</w:t>
      </w:r>
      <w:r w:rsidR="00841751" w:rsidRPr="00A34FDC">
        <w:rPr>
          <w:rFonts w:cs="Calibri"/>
        </w:rPr>
        <w:t xml:space="preserve"> typ</w:t>
      </w:r>
      <w:r w:rsidR="0013346C">
        <w:rPr>
          <w:rFonts w:cs="Calibri"/>
        </w:rPr>
        <w:t>ed</w:t>
      </w:r>
      <w:r w:rsidR="00841751" w:rsidRPr="00A34FDC">
        <w:rPr>
          <w:rFonts w:cs="Calibri"/>
        </w:rPr>
        <w:t xml:space="preserve"> in). A </w:t>
      </w:r>
      <w:r w:rsidR="00774DBC" w:rsidRPr="00A34FDC">
        <w:rPr>
          <w:rFonts w:cs="Calibri"/>
        </w:rPr>
        <w:t>“</w:t>
      </w:r>
      <w:r w:rsidR="00841751" w:rsidRPr="00A34FDC">
        <w:rPr>
          <w:rFonts w:cs="Calibri"/>
        </w:rPr>
        <w:t>writing system</w:t>
      </w:r>
      <w:r w:rsidR="00774DBC" w:rsidRPr="00A34FDC">
        <w:rPr>
          <w:rFonts w:cs="Calibri"/>
        </w:rPr>
        <w:t>”</w:t>
      </w:r>
      <w:r w:rsidR="00841751" w:rsidRPr="00A34FDC">
        <w:rPr>
          <w:rFonts w:cs="Calibri"/>
        </w:rPr>
        <w:t xml:space="preserve"> is a combination of language plus script, so English written in the Latin alphabet is one writing system, </w:t>
      </w:r>
      <w:r w:rsidR="00774DBC" w:rsidRPr="00A34FDC">
        <w:rPr>
          <w:rFonts w:cs="Calibri"/>
        </w:rPr>
        <w:t xml:space="preserve">and </w:t>
      </w:r>
      <w:r w:rsidR="00841751" w:rsidRPr="00A34FDC">
        <w:rPr>
          <w:rFonts w:cs="Calibri"/>
        </w:rPr>
        <w:t xml:space="preserve">English written in UEB is another. This </w:t>
      </w:r>
      <w:r w:rsidR="00774DBC" w:rsidRPr="00A34FDC">
        <w:rPr>
          <w:rFonts w:cs="Calibri"/>
        </w:rPr>
        <w:t xml:space="preserve">writing system </w:t>
      </w:r>
      <w:r w:rsidR="00841751" w:rsidRPr="00A34FDC">
        <w:rPr>
          <w:rFonts w:cs="Calibri"/>
        </w:rPr>
        <w:t xml:space="preserve">idea </w:t>
      </w:r>
      <w:r w:rsidR="0050317E" w:rsidRPr="00A34FDC">
        <w:rPr>
          <w:rFonts w:cs="Calibri"/>
        </w:rPr>
        <w:t xml:space="preserve">has also been used within the blindness community. In a press release for World Braille Day this year, </w:t>
      </w:r>
      <w:r w:rsidR="0050317E" w:rsidRPr="00803D37">
        <w:rPr>
          <w:rFonts w:cs="Calibri"/>
        </w:rPr>
        <w:t>World Blind Union Presi</w:t>
      </w:r>
      <w:r w:rsidR="0050317E" w:rsidRPr="00803D37">
        <w:t>dent Martine Abel-Williamson</w:t>
      </w:r>
      <w:r w:rsidR="0050317E" w:rsidRPr="00A34FDC">
        <w:t xml:space="preserve"> </w:t>
      </w:r>
      <w:r w:rsidR="00962906" w:rsidRPr="00A34FDC">
        <w:t>(2024)</w:t>
      </w:r>
      <w:r w:rsidR="0050317E" w:rsidRPr="00A34FDC">
        <w:t xml:space="preserve"> wrote, </w:t>
      </w:r>
      <w:r w:rsidR="00774DBC" w:rsidRPr="00A34FDC">
        <w:t>“</w:t>
      </w:r>
      <w:r w:rsidR="0050317E" w:rsidRPr="00803D37">
        <w:t>Braille is not just a writing system for those who are blind; it</w:t>
      </w:r>
      <w:r w:rsidR="00774DBC" w:rsidRPr="00A34FDC">
        <w:t>’</w:t>
      </w:r>
      <w:r w:rsidR="0050317E" w:rsidRPr="00803D37">
        <w:t>s a bridge that connects communities.</w:t>
      </w:r>
      <w:r w:rsidR="00774DBC" w:rsidRPr="00A34FDC">
        <w:t>”</w:t>
      </w:r>
      <w:r w:rsidR="0050317E" w:rsidRPr="00803D37">
        <w:t xml:space="preserve"> </w:t>
      </w:r>
    </w:p>
    <w:p w14:paraId="7099AFF2" w14:textId="2F6AE8D0" w:rsidR="001C1C87" w:rsidRPr="00A34FDC" w:rsidRDefault="00CB09D7" w:rsidP="001C1C87">
      <w:r w:rsidRPr="00A34FDC">
        <w:rPr>
          <w:rFonts w:cs="Calibri"/>
        </w:rPr>
        <w:t>In general</w:t>
      </w:r>
      <w:r w:rsidR="00600807" w:rsidRPr="00A34FDC">
        <w:rPr>
          <w:rFonts w:cs="Calibri"/>
        </w:rPr>
        <w:t xml:space="preserve">, language rights mean the </w:t>
      </w:r>
      <w:r w:rsidR="00803D37" w:rsidRPr="00803D37">
        <w:rPr>
          <w:rFonts w:cs="Calibri"/>
        </w:rPr>
        <w:t xml:space="preserve">right to live fully and freely in </w:t>
      </w:r>
      <w:r w:rsidR="00600807" w:rsidRPr="00A34FDC">
        <w:rPr>
          <w:rFonts w:cs="Calibri"/>
        </w:rPr>
        <w:t xml:space="preserve">your chosen </w:t>
      </w:r>
      <w:r w:rsidR="00803D37" w:rsidRPr="00803D37">
        <w:rPr>
          <w:rFonts w:cs="Calibri"/>
        </w:rPr>
        <w:t>language</w:t>
      </w:r>
      <w:r w:rsidR="00600807" w:rsidRPr="00A34FDC">
        <w:rPr>
          <w:rFonts w:cs="Calibri"/>
        </w:rPr>
        <w:t xml:space="preserve"> – at </w:t>
      </w:r>
      <w:r w:rsidR="00803D37" w:rsidRPr="00803D37">
        <w:rPr>
          <w:rFonts w:cs="Calibri"/>
        </w:rPr>
        <w:t xml:space="preserve">home and in </w:t>
      </w:r>
      <w:r w:rsidR="00600807" w:rsidRPr="00A34FDC">
        <w:rPr>
          <w:rFonts w:cs="Calibri"/>
        </w:rPr>
        <w:t xml:space="preserve">your </w:t>
      </w:r>
      <w:r w:rsidR="00803D37" w:rsidRPr="00803D37">
        <w:rPr>
          <w:rFonts w:cs="Calibri"/>
        </w:rPr>
        <w:t>private life</w:t>
      </w:r>
      <w:r w:rsidR="00600807" w:rsidRPr="00A34FDC">
        <w:rPr>
          <w:rFonts w:cs="Calibri"/>
        </w:rPr>
        <w:t>; i</w:t>
      </w:r>
      <w:r w:rsidR="00803D37" w:rsidRPr="00803D37">
        <w:rPr>
          <w:rFonts w:cs="Calibri"/>
        </w:rPr>
        <w:t>n public life, education, politics, justice, art, etc.</w:t>
      </w:r>
      <w:r w:rsidR="00600807" w:rsidRPr="00A34FDC">
        <w:rPr>
          <w:rFonts w:cs="Calibri"/>
        </w:rPr>
        <w:t>; and w</w:t>
      </w:r>
      <w:r w:rsidR="00803D37" w:rsidRPr="00803D37">
        <w:rPr>
          <w:rFonts w:cs="Calibri"/>
        </w:rPr>
        <w:t xml:space="preserve">ithout </w:t>
      </w:r>
      <w:r w:rsidR="00600807" w:rsidRPr="00A34FDC">
        <w:rPr>
          <w:rFonts w:cs="Calibri"/>
        </w:rPr>
        <w:t xml:space="preserve">facing any </w:t>
      </w:r>
      <w:r w:rsidR="00803D37" w:rsidRPr="00803D37">
        <w:rPr>
          <w:rFonts w:cs="Calibri"/>
        </w:rPr>
        <w:t>mockery, judgement, exclusion or oppression</w:t>
      </w:r>
      <w:r w:rsidR="00600807" w:rsidRPr="00A34FDC">
        <w:rPr>
          <w:rFonts w:cs="Calibri"/>
        </w:rPr>
        <w:t xml:space="preserve">. It is central to your </w:t>
      </w:r>
      <w:r w:rsidR="00FA4358" w:rsidRPr="00A34FDC">
        <w:rPr>
          <w:rFonts w:cs="Calibri"/>
        </w:rPr>
        <w:t xml:space="preserve">fundamental </w:t>
      </w:r>
      <w:r w:rsidR="00803D37" w:rsidRPr="00803D37">
        <w:rPr>
          <w:rFonts w:cs="Calibri"/>
        </w:rPr>
        <w:t>communication rights</w:t>
      </w:r>
      <w:r w:rsidR="00600807" w:rsidRPr="00A34FDC">
        <w:rPr>
          <w:rFonts w:cs="Calibri"/>
        </w:rPr>
        <w:t xml:space="preserve"> </w:t>
      </w:r>
      <w:r w:rsidR="00962906" w:rsidRPr="00A34FDC">
        <w:t>(Lee et al., 2007)</w:t>
      </w:r>
      <w:r w:rsidRPr="00A34FDC">
        <w:t xml:space="preserve">, which </w:t>
      </w:r>
      <w:r w:rsidR="00600807" w:rsidRPr="00A34FDC">
        <w:t xml:space="preserve">go </w:t>
      </w:r>
      <w:r w:rsidR="00774DBC" w:rsidRPr="00A34FDC">
        <w:t>“</w:t>
      </w:r>
      <w:r w:rsidR="00600807" w:rsidRPr="00A34FDC">
        <w:t>beyond just enabling freedom of opinion, expression and language. Once these rights are realised, people are more readily able to realise other human rights</w:t>
      </w:r>
      <w:r w:rsidR="00774DBC" w:rsidRPr="00A34FDC">
        <w:t>”</w:t>
      </w:r>
      <w:r w:rsidR="00600807" w:rsidRPr="00A34FDC">
        <w:t xml:space="preserve"> (</w:t>
      </w:r>
      <w:r w:rsidR="001C4DAB" w:rsidRPr="00A34FDC">
        <w:t xml:space="preserve">McLeod, 2018, </w:t>
      </w:r>
      <w:r w:rsidR="00600807" w:rsidRPr="00A34FDC">
        <w:t>p. 4).</w:t>
      </w:r>
      <w:r w:rsidRPr="00A34FDC">
        <w:t xml:space="preserve"> </w:t>
      </w:r>
      <w:r w:rsidR="00774DBC" w:rsidRPr="00A34FDC">
        <w:t xml:space="preserve">Language rights </w:t>
      </w:r>
      <w:r w:rsidR="00EA7710">
        <w:t>can</w:t>
      </w:r>
      <w:r w:rsidR="00774DBC" w:rsidRPr="00A34FDC">
        <w:t xml:space="preserve"> also </w:t>
      </w:r>
      <w:r w:rsidR="00EA7710">
        <w:t xml:space="preserve">be </w:t>
      </w:r>
      <w:r w:rsidRPr="00A34FDC">
        <w:t xml:space="preserve">called linguistic rights, linguistic human rights or minority-language rights; there are differences, but each term </w:t>
      </w:r>
      <w:r w:rsidR="00FD270E" w:rsidRPr="00A34FDC">
        <w:t xml:space="preserve">reflects </w:t>
      </w:r>
      <w:r w:rsidRPr="00A34FDC">
        <w:t xml:space="preserve">the same key principles shared here. </w:t>
      </w:r>
    </w:p>
    <w:p w14:paraId="3C3E7C32" w14:textId="187B3FF6" w:rsidR="00803D37" w:rsidRPr="00A34FDC" w:rsidRDefault="00841FBF" w:rsidP="001C1C87">
      <w:pPr>
        <w:rPr>
          <w:rFonts w:cs="Calibri"/>
        </w:rPr>
      </w:pPr>
      <w:r w:rsidRPr="00A34FDC">
        <w:rPr>
          <w:rFonts w:cs="Calibri"/>
        </w:rPr>
        <w:t>L</w:t>
      </w:r>
      <w:r w:rsidR="00CB09D7" w:rsidRPr="00A34FDC">
        <w:rPr>
          <w:rFonts w:cs="Calibri"/>
        </w:rPr>
        <w:t xml:space="preserve">anguage rights apply to everyone who uses a language, and especially people who use smaller languages, </w:t>
      </w:r>
      <w:r w:rsidRPr="00A34FDC">
        <w:rPr>
          <w:rFonts w:cs="Calibri"/>
        </w:rPr>
        <w:t xml:space="preserve">but </w:t>
      </w:r>
      <w:r w:rsidR="00803D37" w:rsidRPr="00803D37">
        <w:rPr>
          <w:rFonts w:cs="Calibri"/>
        </w:rPr>
        <w:t>there is no global language-rights treaty</w:t>
      </w:r>
      <w:r w:rsidR="00CB09D7" w:rsidRPr="00A34FDC">
        <w:rPr>
          <w:rFonts w:cs="Calibri"/>
        </w:rPr>
        <w:t xml:space="preserve"> equivalent to the CRPD</w:t>
      </w:r>
      <w:r w:rsidR="00803D37" w:rsidRPr="00803D37">
        <w:rPr>
          <w:rFonts w:cs="Calibri"/>
        </w:rPr>
        <w:t>.</w:t>
      </w:r>
      <w:r w:rsidR="00CC12DA" w:rsidRPr="00A34FDC">
        <w:rPr>
          <w:rFonts w:cs="Calibri"/>
        </w:rPr>
        <w:t xml:space="preserve"> European </w:t>
      </w:r>
      <w:r w:rsidRPr="00A34FDC">
        <w:rPr>
          <w:rFonts w:cs="Calibri"/>
        </w:rPr>
        <w:t>braillists</w:t>
      </w:r>
      <w:r w:rsidR="00CC12DA" w:rsidRPr="00A34FDC">
        <w:rPr>
          <w:rFonts w:cs="Calibri"/>
        </w:rPr>
        <w:t xml:space="preserve"> </w:t>
      </w:r>
      <w:r w:rsidR="00B4692D">
        <w:rPr>
          <w:rFonts w:cs="Calibri"/>
        </w:rPr>
        <w:t xml:space="preserve">can use </w:t>
      </w:r>
      <w:r w:rsidR="00CC12DA" w:rsidRPr="00A34FDC">
        <w:rPr>
          <w:rFonts w:cs="Calibri"/>
        </w:rPr>
        <w:t xml:space="preserve">the </w:t>
      </w:r>
      <w:r w:rsidR="00CC12DA" w:rsidRPr="00A34FDC">
        <w:rPr>
          <w:rFonts w:cs="Calibri"/>
          <w:i/>
          <w:iCs/>
        </w:rPr>
        <w:t>European Charter for Regional and Minority Languages</w:t>
      </w:r>
      <w:r w:rsidR="00CC12DA" w:rsidRPr="00A34FDC">
        <w:rPr>
          <w:rFonts w:cs="Calibri"/>
        </w:rPr>
        <w:t xml:space="preserve">, published by the Council of Europe </w:t>
      </w:r>
      <w:r w:rsidR="00CE6F9C" w:rsidRPr="00803D37">
        <w:rPr>
          <w:rFonts w:cs="Calibri"/>
        </w:rPr>
        <w:t>(2023)</w:t>
      </w:r>
      <w:r w:rsidR="00CE6F9C" w:rsidRPr="00A34FDC">
        <w:rPr>
          <w:rFonts w:cs="Calibri"/>
        </w:rPr>
        <w:t xml:space="preserve"> </w:t>
      </w:r>
      <w:r w:rsidR="00CC12DA" w:rsidRPr="00A34FDC">
        <w:rPr>
          <w:rFonts w:cs="Calibri"/>
        </w:rPr>
        <w:t xml:space="preserve">and </w:t>
      </w:r>
      <w:r w:rsidR="00B4692D">
        <w:rPr>
          <w:rFonts w:cs="Calibri"/>
        </w:rPr>
        <w:t xml:space="preserve">enforced </w:t>
      </w:r>
      <w:r w:rsidR="00CC12DA" w:rsidRPr="00A34FDC">
        <w:rPr>
          <w:rFonts w:cs="Calibri"/>
        </w:rPr>
        <w:t xml:space="preserve">since 1998. Although this charter is limited </w:t>
      </w:r>
      <w:r w:rsidR="001C1C87" w:rsidRPr="00A34FDC">
        <w:rPr>
          <w:rFonts w:cs="Calibri"/>
        </w:rPr>
        <w:t xml:space="preserve">– </w:t>
      </w:r>
      <w:r w:rsidR="00CC12DA" w:rsidRPr="00A34FDC">
        <w:rPr>
          <w:rFonts w:cs="Calibri"/>
        </w:rPr>
        <w:t>governments choose which sections to be bound by</w:t>
      </w:r>
      <w:r w:rsidR="001C1C87" w:rsidRPr="00A34FDC">
        <w:rPr>
          <w:rFonts w:cs="Calibri"/>
        </w:rPr>
        <w:t xml:space="preserve"> –</w:t>
      </w:r>
      <w:r w:rsidR="00CC12DA" w:rsidRPr="00A34FDC">
        <w:rPr>
          <w:rFonts w:cs="Calibri"/>
        </w:rPr>
        <w:t xml:space="preserve"> it would be a good starting point for a</w:t>
      </w:r>
      <w:r w:rsidR="001C1C87" w:rsidRPr="00A34FDC">
        <w:rPr>
          <w:rFonts w:cs="Calibri"/>
        </w:rPr>
        <w:t xml:space="preserve">n international charter based on individual language rights. PEN International </w:t>
      </w:r>
      <w:r w:rsidR="006022EF" w:rsidRPr="00A34FDC">
        <w:rPr>
          <w:rFonts w:cs="Calibri"/>
        </w:rPr>
        <w:t xml:space="preserve">also </w:t>
      </w:r>
      <w:r w:rsidR="001C1C87" w:rsidRPr="00A34FDC">
        <w:rPr>
          <w:rFonts w:cs="Calibri"/>
        </w:rPr>
        <w:t xml:space="preserve">developed its </w:t>
      </w:r>
      <w:r w:rsidR="00803D37" w:rsidRPr="00803D37">
        <w:rPr>
          <w:rFonts w:cs="Calibri"/>
          <w:i/>
          <w:iCs/>
        </w:rPr>
        <w:t>Universal Declaration of Linguistic Rights</w:t>
      </w:r>
      <w:r w:rsidR="001C1C87" w:rsidRPr="00A34FDC">
        <w:t xml:space="preserve"> </w:t>
      </w:r>
      <w:r w:rsidR="001C1C87" w:rsidRPr="00A34FDC">
        <w:rPr>
          <w:rFonts w:cs="Calibri"/>
        </w:rPr>
        <w:t>based on community-level language rights</w:t>
      </w:r>
      <w:r w:rsidR="00B4692D">
        <w:rPr>
          <w:rFonts w:cs="Calibri"/>
        </w:rPr>
        <w:t xml:space="preserve"> </w:t>
      </w:r>
      <w:r w:rsidR="00B4692D" w:rsidRPr="00A34FDC">
        <w:rPr>
          <w:rFonts w:cs="Calibri"/>
        </w:rPr>
        <w:t>(</w:t>
      </w:r>
      <w:r w:rsidR="00B4692D" w:rsidRPr="00803D37">
        <w:rPr>
          <w:rFonts w:cs="Calibri"/>
        </w:rPr>
        <w:t>Universal Declaration of Linguistic Rights Follow-up Committee</w:t>
      </w:r>
      <w:r w:rsidR="00B4692D" w:rsidRPr="00A34FDC">
        <w:rPr>
          <w:rFonts w:cs="Calibri"/>
        </w:rPr>
        <w:t xml:space="preserve">, </w:t>
      </w:r>
      <w:r w:rsidR="00B4692D" w:rsidRPr="00803D37">
        <w:rPr>
          <w:rFonts w:cs="Calibri"/>
        </w:rPr>
        <w:t>1998)</w:t>
      </w:r>
      <w:r w:rsidR="001C1C87" w:rsidRPr="00A34FDC">
        <w:rPr>
          <w:rFonts w:cs="Calibri"/>
        </w:rPr>
        <w:t xml:space="preserve">. Despite extensive </w:t>
      </w:r>
      <w:r w:rsidR="00B4692D">
        <w:rPr>
          <w:rFonts w:cs="Calibri"/>
        </w:rPr>
        <w:t>lobbying</w:t>
      </w:r>
      <w:r w:rsidR="001C1C87" w:rsidRPr="00A34FDC">
        <w:rPr>
          <w:rFonts w:cs="Calibri"/>
        </w:rPr>
        <w:t xml:space="preserve">, UNESCO did not validate it as a UN-level treaty as planned. PEN International </w:t>
      </w:r>
      <w:r w:rsidR="00CE6F9C" w:rsidRPr="00A34FDC">
        <w:rPr>
          <w:rFonts w:cs="Calibri"/>
        </w:rPr>
        <w:t xml:space="preserve">(2011) </w:t>
      </w:r>
      <w:r w:rsidR="00051F57" w:rsidRPr="00A34FDC">
        <w:rPr>
          <w:rFonts w:cs="Calibri"/>
        </w:rPr>
        <w:t xml:space="preserve">then </w:t>
      </w:r>
      <w:r w:rsidR="001C1C87" w:rsidRPr="00A34FDC">
        <w:rPr>
          <w:rFonts w:cs="Calibri"/>
        </w:rPr>
        <w:t xml:space="preserve">summarised the declaration into the 10-point </w:t>
      </w:r>
      <w:r w:rsidR="001C1C87" w:rsidRPr="00A34FDC">
        <w:rPr>
          <w:rFonts w:cs="Calibri"/>
          <w:i/>
          <w:iCs/>
        </w:rPr>
        <w:t>Girona Manifesto on Linguistic Rights</w:t>
      </w:r>
      <w:r w:rsidR="001C1C87" w:rsidRPr="00A34FDC">
        <w:rPr>
          <w:rFonts w:cs="Calibri"/>
        </w:rPr>
        <w:t xml:space="preserve">, designed for use by language advocates. These two publications have strong moral weight and well-informed principles, but </w:t>
      </w:r>
      <w:r w:rsidR="00686244" w:rsidRPr="00A34FDC">
        <w:rPr>
          <w:rFonts w:cs="Calibri"/>
        </w:rPr>
        <w:t xml:space="preserve">unfortunately </w:t>
      </w:r>
      <w:r w:rsidR="001C1C87" w:rsidRPr="00A34FDC">
        <w:rPr>
          <w:rFonts w:cs="Calibri"/>
        </w:rPr>
        <w:t>little political recognition.</w:t>
      </w:r>
    </w:p>
    <w:p w14:paraId="58CD6131" w14:textId="0D82078A" w:rsidR="002B0766" w:rsidRPr="00A34FDC" w:rsidRDefault="001C1C87" w:rsidP="002B0766">
      <w:r w:rsidRPr="00A34FDC">
        <w:rPr>
          <w:rFonts w:cs="Calibri"/>
        </w:rPr>
        <w:t xml:space="preserve">One </w:t>
      </w:r>
      <w:r w:rsidR="0057457F" w:rsidRPr="00A34FDC">
        <w:rPr>
          <w:rFonts w:cs="Calibri"/>
        </w:rPr>
        <w:t>global</w:t>
      </w:r>
      <w:r w:rsidR="00CE6F9C" w:rsidRPr="00A34FDC">
        <w:rPr>
          <w:rFonts w:cs="Calibri"/>
        </w:rPr>
        <w:t xml:space="preserve"> </w:t>
      </w:r>
      <w:r w:rsidRPr="00A34FDC">
        <w:rPr>
          <w:rFonts w:cs="Calibri"/>
        </w:rPr>
        <w:t>framework</w:t>
      </w:r>
      <w:r w:rsidR="005A01A5" w:rsidRPr="00A34FDC">
        <w:rPr>
          <w:rFonts w:cs="Calibri"/>
        </w:rPr>
        <w:t xml:space="preserve"> which I believe could be used for braille advocacy</w:t>
      </w:r>
      <w:r w:rsidRPr="00A34FDC">
        <w:rPr>
          <w:rFonts w:cs="Calibri"/>
        </w:rPr>
        <w:t xml:space="preserve"> is the </w:t>
      </w:r>
      <w:r w:rsidR="00CE6F9C" w:rsidRPr="00A34FDC">
        <w:rPr>
          <w:rFonts w:cs="Calibri"/>
        </w:rPr>
        <w:t xml:space="preserve">UN </w:t>
      </w:r>
      <w:r w:rsidR="00803D37" w:rsidRPr="00803D37">
        <w:rPr>
          <w:rFonts w:cs="Calibri"/>
          <w:i/>
          <w:iCs/>
        </w:rPr>
        <w:t>Declaration on the Rights of Persons Belonging to National or Ethnic, Religious and Linguistic Minorities</w:t>
      </w:r>
      <w:r w:rsidRPr="00A34FDC">
        <w:rPr>
          <w:rFonts w:cs="Calibri"/>
          <w:i/>
          <w:iCs/>
        </w:rPr>
        <w:t xml:space="preserve"> </w:t>
      </w:r>
      <w:r w:rsidRPr="00A34FDC">
        <w:rPr>
          <w:rFonts w:cs="Calibri"/>
        </w:rPr>
        <w:t>(</w:t>
      </w:r>
      <w:r w:rsidR="001C4DAB" w:rsidRPr="00A34FDC">
        <w:rPr>
          <w:rFonts w:cs="Calibri"/>
        </w:rPr>
        <w:t>OHCHR, 1992</w:t>
      </w:r>
      <w:r w:rsidRPr="00A34FDC">
        <w:rPr>
          <w:rFonts w:cs="Calibri"/>
        </w:rPr>
        <w:t xml:space="preserve">). This was adopted by the UN General Assembly in 1992 and </w:t>
      </w:r>
      <w:r w:rsidR="00686244" w:rsidRPr="00A34FDC">
        <w:rPr>
          <w:rFonts w:cs="Calibri"/>
        </w:rPr>
        <w:t xml:space="preserve">is therefore enforced by </w:t>
      </w:r>
      <w:r w:rsidRPr="00A34FDC">
        <w:rPr>
          <w:rFonts w:cs="Calibri"/>
        </w:rPr>
        <w:t xml:space="preserve">international law. </w:t>
      </w:r>
      <w:r w:rsidRPr="00A34FDC">
        <w:t xml:space="preserve">It is the duty of the UN Special Rapporteur on Minority Issues to </w:t>
      </w:r>
      <w:r w:rsidR="00774DBC" w:rsidRPr="00A34FDC">
        <w:t>“</w:t>
      </w:r>
      <w:r w:rsidRPr="00A34FDC">
        <w:t>promote the implementation</w:t>
      </w:r>
      <w:r w:rsidR="00774DBC" w:rsidRPr="00A34FDC">
        <w:t>”</w:t>
      </w:r>
      <w:r w:rsidRPr="00A34FDC">
        <w:t xml:space="preserve"> of this declaration (OHCHR, 2024)</w:t>
      </w:r>
      <w:r w:rsidR="002B0766" w:rsidRPr="00A34FDC">
        <w:t>.</w:t>
      </w:r>
      <w:r w:rsidR="00FD270E" w:rsidRPr="00A34FDC">
        <w:t xml:space="preserve"> As guidance to communities </w:t>
      </w:r>
      <w:r w:rsidR="0057457F" w:rsidRPr="00A34FDC">
        <w:t xml:space="preserve">defending </w:t>
      </w:r>
      <w:r w:rsidR="00FD270E" w:rsidRPr="00A34FDC">
        <w:t>their language rights,</w:t>
      </w:r>
      <w:r w:rsidR="002B0766" w:rsidRPr="00A34FDC">
        <w:t xml:space="preserve"> the Special Rapporteur</w:t>
      </w:r>
      <w:r w:rsidR="00774DBC" w:rsidRPr="00A34FDC">
        <w:t>’</w:t>
      </w:r>
      <w:r w:rsidR="002B0766" w:rsidRPr="00A34FDC">
        <w:t xml:space="preserve">s office </w:t>
      </w:r>
      <w:r w:rsidR="001D74A2">
        <w:t>published</w:t>
      </w:r>
      <w:r w:rsidR="002B0766" w:rsidRPr="00A34FDC">
        <w:t xml:space="preserve"> a handbook </w:t>
      </w:r>
      <w:r w:rsidR="00FD270E" w:rsidRPr="00A34FDC">
        <w:t xml:space="preserve">in 2017 </w:t>
      </w:r>
      <w:r w:rsidR="002B0766" w:rsidRPr="00A34FDC">
        <w:t xml:space="preserve">called </w:t>
      </w:r>
      <w:r w:rsidR="002B0766" w:rsidRPr="00A34FDC">
        <w:rPr>
          <w:i/>
          <w:iCs/>
        </w:rPr>
        <w:t>Language Rights of Linguistic Minorities: A Practical Guide for Implementation</w:t>
      </w:r>
      <w:r w:rsidR="00FD270E" w:rsidRPr="00A34FDC">
        <w:rPr>
          <w:i/>
          <w:iCs/>
        </w:rPr>
        <w:t>.</w:t>
      </w:r>
      <w:r w:rsidR="00FD270E" w:rsidRPr="00A34FDC">
        <w:t xml:space="preserve"> This </w:t>
      </w:r>
      <w:r w:rsidR="00CE6F9C" w:rsidRPr="00A34FDC">
        <w:t>covers:</w:t>
      </w:r>
    </w:p>
    <w:p w14:paraId="5A167070" w14:textId="77777777" w:rsidR="002B0766" w:rsidRPr="00A34FDC" w:rsidRDefault="002B0766" w:rsidP="002B0766">
      <w:pPr>
        <w:pStyle w:val="ListParagraph"/>
        <w:numPr>
          <w:ilvl w:val="0"/>
          <w:numId w:val="10"/>
        </w:numPr>
        <w:spacing w:line="276" w:lineRule="auto"/>
      </w:pPr>
      <w:r w:rsidRPr="00A34FDC">
        <w:t>what language rights are</w:t>
      </w:r>
    </w:p>
    <w:p w14:paraId="29E45826" w14:textId="2079777F" w:rsidR="002B0766" w:rsidRPr="00A34FDC" w:rsidRDefault="002B0766" w:rsidP="002B0766">
      <w:pPr>
        <w:pStyle w:val="ListParagraph"/>
        <w:numPr>
          <w:ilvl w:val="0"/>
          <w:numId w:val="10"/>
        </w:numPr>
        <w:spacing w:line="276" w:lineRule="auto"/>
      </w:pPr>
      <w:r w:rsidRPr="00A34FDC">
        <w:t xml:space="preserve">why they </w:t>
      </w:r>
      <w:r w:rsidR="001C4DAB" w:rsidRPr="00A34FDC">
        <w:t>matter</w:t>
      </w:r>
      <w:r w:rsidRPr="00A34FDC">
        <w:t xml:space="preserve"> for education, women</w:t>
      </w:r>
      <w:r w:rsidR="00774DBC" w:rsidRPr="00A34FDC">
        <w:t>’</w:t>
      </w:r>
      <w:r w:rsidRPr="00A34FDC">
        <w:t>s empowerment, resource use, communication, public services, conflict prevention and diversity</w:t>
      </w:r>
    </w:p>
    <w:p w14:paraId="38166D04" w14:textId="5BE72340" w:rsidR="002B0766" w:rsidRPr="00A34FDC" w:rsidRDefault="002B0766" w:rsidP="002B0766">
      <w:pPr>
        <w:pStyle w:val="ListParagraph"/>
        <w:numPr>
          <w:ilvl w:val="0"/>
          <w:numId w:val="10"/>
        </w:numPr>
        <w:spacing w:line="276" w:lineRule="auto"/>
      </w:pPr>
      <w:r w:rsidRPr="00A34FDC">
        <w:t xml:space="preserve">how a human rights–based approach to language rights can ensure dignity, liberty, equality and identity, and </w:t>
      </w:r>
    </w:p>
    <w:p w14:paraId="4F6109AB" w14:textId="56A5AC51" w:rsidR="002B0766" w:rsidRPr="00A34FDC" w:rsidRDefault="002B0766" w:rsidP="002B0766">
      <w:pPr>
        <w:pStyle w:val="ListParagraph"/>
        <w:numPr>
          <w:ilvl w:val="0"/>
          <w:numId w:val="10"/>
        </w:numPr>
        <w:spacing w:line="276" w:lineRule="auto"/>
      </w:pPr>
      <w:r w:rsidRPr="00A34FDC">
        <w:t xml:space="preserve">good practice to ensure language rights in education, public and health services, identity, justice and media. </w:t>
      </w:r>
      <w:r w:rsidR="00FD270E" w:rsidRPr="00A34FDC">
        <w:t>E</w:t>
      </w:r>
      <w:r w:rsidRPr="00A34FDC">
        <w:t xml:space="preserve">ach </w:t>
      </w:r>
      <w:r w:rsidR="00FD270E" w:rsidRPr="00A34FDC">
        <w:t xml:space="preserve">topic </w:t>
      </w:r>
      <w:r w:rsidRPr="00A34FDC">
        <w:t>lists the relevant international agreements and articles which underpin that language right, as well as numerous case studies.</w:t>
      </w:r>
    </w:p>
    <w:p w14:paraId="6350F9C7" w14:textId="27965E0F" w:rsidR="0057457F" w:rsidRPr="00A34FDC" w:rsidRDefault="0057457F" w:rsidP="0057457F">
      <w:r w:rsidRPr="00A34FDC">
        <w:t xml:space="preserve">Another useful tool is the community guide to the declaration published by Minority Rights Group International (2012), which explains each right, includes brief case studies and presents campaigning ideas. Language rights is also an established </w:t>
      </w:r>
      <w:r w:rsidR="009321DD" w:rsidRPr="00A34FDC">
        <w:t>academic</w:t>
      </w:r>
      <w:r w:rsidRPr="00A34FDC">
        <w:t xml:space="preserve"> discipline </w:t>
      </w:r>
      <w:r w:rsidR="00B4692D">
        <w:t xml:space="preserve">that takes ideas from </w:t>
      </w:r>
      <w:r w:rsidRPr="00A34FDC">
        <w:t xml:space="preserve">political science, international relations, law and linguistics. </w:t>
      </w:r>
      <w:r w:rsidR="009321DD" w:rsidRPr="00A34FDC">
        <w:t xml:space="preserve">An </w:t>
      </w:r>
      <w:r w:rsidRPr="00A34FDC">
        <w:t xml:space="preserve">important publication </w:t>
      </w:r>
      <w:r w:rsidR="009321DD" w:rsidRPr="00A34FDC">
        <w:t xml:space="preserve">here </w:t>
      </w:r>
      <w:r w:rsidRPr="00A34FDC">
        <w:t xml:space="preserve">is </w:t>
      </w:r>
      <w:r w:rsidRPr="00A34FDC">
        <w:rPr>
          <w:i/>
          <w:iCs/>
        </w:rPr>
        <w:t>The Handbook of Linguistic Human Rights</w:t>
      </w:r>
      <w:r w:rsidRPr="00A34FDC">
        <w:t xml:space="preserve"> (Skutnabb-Kangas &amp; Phillipson, 2023); many chapters focus on language policy, education, healthcare, justice and governance.</w:t>
      </w:r>
    </w:p>
    <w:p w14:paraId="17C20B92" w14:textId="1AF379A7" w:rsidR="00803D37" w:rsidRPr="00803D37" w:rsidRDefault="000F3832" w:rsidP="00BB4045">
      <w:pPr>
        <w:rPr>
          <w:rFonts w:cs="Calibri"/>
        </w:rPr>
      </w:pPr>
      <w:r w:rsidRPr="00A34FDC">
        <w:t>Some international organisations also support communities</w:t>
      </w:r>
      <w:r w:rsidR="00B4692D">
        <w:t xml:space="preserve"> to</w:t>
      </w:r>
      <w:r w:rsidRPr="00A34FDC">
        <w:t xml:space="preserve"> protect their language rights. The </w:t>
      </w:r>
      <w:r w:rsidR="00803D37" w:rsidRPr="00803D37">
        <w:rPr>
          <w:rFonts w:cs="Calibri"/>
        </w:rPr>
        <w:t>Global Coalition for Language Rights (</w:t>
      </w:r>
      <w:hyperlink r:id="rId8" w:history="1">
        <w:r w:rsidR="00BB4045" w:rsidRPr="00A34FDC">
          <w:rPr>
            <w:rStyle w:val="Hyperlink"/>
          </w:rPr>
          <w:t>https://www.coalitionforlanguagerights.org/</w:t>
        </w:r>
      </w:hyperlink>
      <w:r w:rsidR="00803D37" w:rsidRPr="00803D37">
        <w:rPr>
          <w:rFonts w:cs="Calibri"/>
        </w:rPr>
        <w:t>)</w:t>
      </w:r>
      <w:r w:rsidR="00BB4045" w:rsidRPr="00A34FDC">
        <w:rPr>
          <w:rFonts w:cs="Calibri"/>
        </w:rPr>
        <w:t xml:space="preserve"> </w:t>
      </w:r>
      <w:r w:rsidR="00BB4045" w:rsidRPr="00A34FDC">
        <w:t>was founded in 2021 and works towards broader global participation and action in language rights.</w:t>
      </w:r>
      <w:r w:rsidRPr="00A34FDC">
        <w:rPr>
          <w:rFonts w:cs="Calibri"/>
        </w:rPr>
        <w:t xml:space="preserve"> </w:t>
      </w:r>
      <w:r w:rsidR="00803D37" w:rsidRPr="00803D37">
        <w:rPr>
          <w:rFonts w:cs="Calibri"/>
        </w:rPr>
        <w:t>PEN International</w:t>
      </w:r>
      <w:r w:rsidR="00774DBC" w:rsidRPr="00A34FDC">
        <w:rPr>
          <w:rFonts w:cs="Calibri"/>
        </w:rPr>
        <w:t>’</w:t>
      </w:r>
      <w:r w:rsidRPr="00A34FDC">
        <w:rPr>
          <w:rFonts w:cs="Calibri"/>
        </w:rPr>
        <w:t>s</w:t>
      </w:r>
      <w:r w:rsidR="00803D37" w:rsidRPr="00803D37">
        <w:rPr>
          <w:rFonts w:cs="Calibri"/>
        </w:rPr>
        <w:t xml:space="preserve"> Translation and Linguistic Rights Committee </w:t>
      </w:r>
      <w:r w:rsidRPr="00A34FDC">
        <w:rPr>
          <w:rFonts w:cs="Calibri"/>
        </w:rPr>
        <w:t xml:space="preserve">promotes literary production in minority languages </w:t>
      </w:r>
      <w:r w:rsidRPr="00A34FDC">
        <w:t>(</w:t>
      </w:r>
      <w:hyperlink r:id="rId9" w:history="1">
        <w:r w:rsidR="00BB4045" w:rsidRPr="00A34FDC">
          <w:rPr>
            <w:rStyle w:val="Hyperlink"/>
          </w:rPr>
          <w:t>https://www.pen-international.org/what-we-do</w:t>
        </w:r>
      </w:hyperlink>
      <w:r w:rsidRPr="00A34FDC">
        <w:t>)</w:t>
      </w:r>
      <w:r w:rsidRPr="00A34FDC">
        <w:rPr>
          <w:rFonts w:cs="Calibri"/>
        </w:rPr>
        <w:t>.</w:t>
      </w:r>
      <w:r w:rsidR="00BB4045" w:rsidRPr="00A34FDC">
        <w:rPr>
          <w:rFonts w:cs="Calibri"/>
        </w:rPr>
        <w:t xml:space="preserve"> An organisation called </w:t>
      </w:r>
      <w:r w:rsidR="00803D37" w:rsidRPr="00803D37">
        <w:rPr>
          <w:rFonts w:cs="Calibri"/>
        </w:rPr>
        <w:t>Endangered Alphabets</w:t>
      </w:r>
      <w:r w:rsidR="00BB4045" w:rsidRPr="00A34FDC">
        <w:rPr>
          <w:rFonts w:cs="Calibri"/>
        </w:rPr>
        <w:t xml:space="preserve"> has worked with users of minority writing systems for </w:t>
      </w:r>
      <w:r w:rsidR="00B4692D">
        <w:rPr>
          <w:rFonts w:cs="Calibri"/>
        </w:rPr>
        <w:t xml:space="preserve">over </w:t>
      </w:r>
      <w:r w:rsidR="00BB4045" w:rsidRPr="00A34FDC">
        <w:rPr>
          <w:rFonts w:cs="Calibri"/>
        </w:rPr>
        <w:t>14 years (</w:t>
      </w:r>
      <w:hyperlink r:id="rId10" w:history="1">
        <w:r w:rsidR="00BB4045" w:rsidRPr="00A34FDC">
          <w:rPr>
            <w:rStyle w:val="Hyperlink"/>
          </w:rPr>
          <w:t>https://www.endangeredalphabets.com/advocacy/</w:t>
        </w:r>
      </w:hyperlink>
      <w:r w:rsidR="00BB4045" w:rsidRPr="00A34FDC">
        <w:t>). (Please note, I</w:t>
      </w:r>
      <w:r w:rsidR="00774DBC" w:rsidRPr="00A34FDC">
        <w:t>’</w:t>
      </w:r>
      <w:r w:rsidR="00BB4045" w:rsidRPr="00A34FDC">
        <w:t xml:space="preserve">m not saying braille is endangered! But it is a minority writing system, and </w:t>
      </w:r>
      <w:r w:rsidR="001D74A2">
        <w:t xml:space="preserve">that is the focus of </w:t>
      </w:r>
      <w:r w:rsidR="00BB4045" w:rsidRPr="00A34FDC">
        <w:t>Endangered Alphabets</w:t>
      </w:r>
      <w:r w:rsidR="001D74A2">
        <w:t>’ advocacy</w:t>
      </w:r>
      <w:r w:rsidR="00BB4045" w:rsidRPr="00A34FDC">
        <w:t xml:space="preserve">.) Other organisations </w:t>
      </w:r>
      <w:r w:rsidR="00D7161A" w:rsidRPr="00A34FDC">
        <w:t xml:space="preserve">tend to </w:t>
      </w:r>
      <w:r w:rsidR="00BB4045" w:rsidRPr="00A34FDC">
        <w:t xml:space="preserve">focus on </w:t>
      </w:r>
      <w:r w:rsidR="00D7161A" w:rsidRPr="00A34FDC">
        <w:t xml:space="preserve">Indigenous </w:t>
      </w:r>
      <w:r w:rsidR="00BB4045" w:rsidRPr="00A34FDC">
        <w:t>language rights</w:t>
      </w:r>
      <w:r w:rsidR="00D7161A" w:rsidRPr="00A34FDC">
        <w:t>,</w:t>
      </w:r>
      <w:r w:rsidR="00BB4045" w:rsidRPr="00A34FDC">
        <w:t xml:space="preserve"> both in Australia – </w:t>
      </w:r>
      <w:r w:rsidR="001D74A2">
        <w:t xml:space="preserve">e.g., </w:t>
      </w:r>
      <w:r w:rsidR="00BB4045" w:rsidRPr="00A34FDC">
        <w:t>through First Languages Australia (</w:t>
      </w:r>
      <w:hyperlink r:id="rId11" w:history="1">
        <w:r w:rsidR="00BB4045" w:rsidRPr="00A34FDC">
          <w:rPr>
            <w:rStyle w:val="Hyperlink"/>
          </w:rPr>
          <w:t>https://www.firstlanguages.org.au/</w:t>
        </w:r>
      </w:hyperlink>
      <w:r w:rsidR="00BB4045" w:rsidRPr="00A34FDC">
        <w:t>) – and internationally – e.g., the Foundation for Endangered Languages (</w:t>
      </w:r>
      <w:hyperlink r:id="rId12" w:history="1">
        <w:r w:rsidR="00BB4045" w:rsidRPr="00A34FDC">
          <w:rPr>
            <w:rStyle w:val="Hyperlink"/>
          </w:rPr>
          <w:t>https://ogmios.org/</w:t>
        </w:r>
      </w:hyperlink>
      <w:r w:rsidR="00BB4045" w:rsidRPr="00A34FDC">
        <w:t>).</w:t>
      </w:r>
    </w:p>
    <w:p w14:paraId="3C0B997D" w14:textId="65762410" w:rsidR="0057457F" w:rsidRPr="00A34FDC" w:rsidRDefault="0057457F" w:rsidP="0057457F">
      <w:r w:rsidRPr="00A34FDC">
        <w:t xml:space="preserve">For braille advocates who wish to use language rights principles, it is worth knowing that Deaf colleagues have been using these </w:t>
      </w:r>
      <w:r w:rsidR="0013346C">
        <w:t>ideas</w:t>
      </w:r>
      <w:r w:rsidR="00D7161A" w:rsidRPr="00A34FDC">
        <w:t xml:space="preserve"> </w:t>
      </w:r>
      <w:r w:rsidR="009321DD" w:rsidRPr="00A34FDC">
        <w:t xml:space="preserve">to advocate for sign languages </w:t>
      </w:r>
      <w:r w:rsidRPr="00A34FDC">
        <w:t xml:space="preserve">for </w:t>
      </w:r>
      <w:r w:rsidR="009321DD" w:rsidRPr="00A34FDC">
        <w:t xml:space="preserve">over </w:t>
      </w:r>
      <w:r w:rsidRPr="00A34FDC">
        <w:t xml:space="preserve">four decades. As an example of </w:t>
      </w:r>
      <w:r w:rsidR="0013346C">
        <w:t xml:space="preserve">their </w:t>
      </w:r>
      <w:r w:rsidRPr="00A34FDC">
        <w:t xml:space="preserve">successful advocacy, New Zealand Sign Language was recognised as an official language of New Zealand in the </w:t>
      </w:r>
      <w:r w:rsidRPr="00A34FDC">
        <w:rPr>
          <w:i/>
          <w:iCs/>
        </w:rPr>
        <w:t>New Zealand Sign Language Act (2006).</w:t>
      </w:r>
      <w:r w:rsidRPr="00A34FDC">
        <w:t xml:space="preserve"> This </w:t>
      </w:r>
      <w:r w:rsidR="00774DBC" w:rsidRPr="00A34FDC">
        <w:t>“</w:t>
      </w:r>
      <w:r w:rsidRPr="00A34FDC">
        <w:t>trajectory … towards official language status was propelled by local developments in indigenous (Māori) language rights, human rights and disability rights</w:t>
      </w:r>
      <w:r w:rsidR="00774DBC" w:rsidRPr="00A34FDC">
        <w:t>”</w:t>
      </w:r>
      <w:r w:rsidRPr="00A34FDC">
        <w:t xml:space="preserve"> (McKee &amp; Manning, 2019, p. 224).</w:t>
      </w:r>
      <w:r w:rsidR="005A01A5" w:rsidRPr="00A34FDC">
        <w:t xml:space="preserve"> </w:t>
      </w:r>
      <w:r w:rsidR="0013346C">
        <w:t xml:space="preserve">If this framework is useful, </w:t>
      </w:r>
      <w:r w:rsidR="005A01A5" w:rsidRPr="00A34FDC">
        <w:t xml:space="preserve">Braille advocates will need to </w:t>
      </w:r>
      <w:r w:rsidR="000F3832" w:rsidRPr="00A34FDC">
        <w:t xml:space="preserve">develop </w:t>
      </w:r>
      <w:r w:rsidR="005A01A5" w:rsidRPr="00A34FDC">
        <w:t xml:space="preserve">arguments </w:t>
      </w:r>
      <w:r w:rsidR="0013346C">
        <w:t xml:space="preserve">on </w:t>
      </w:r>
      <w:r w:rsidR="005A01A5" w:rsidRPr="00A34FDC">
        <w:t xml:space="preserve">braille as the writing system or (potentially) the natural language of the blindness community; the need for individual or community </w:t>
      </w:r>
      <w:r w:rsidR="004302A0">
        <w:t xml:space="preserve">language </w:t>
      </w:r>
      <w:r w:rsidR="005A01A5" w:rsidRPr="00A34FDC">
        <w:t>rights; and how the community</w:t>
      </w:r>
      <w:r w:rsidR="00774DBC" w:rsidRPr="00A34FDC">
        <w:t>’</w:t>
      </w:r>
      <w:r w:rsidR="005A01A5" w:rsidRPr="00A34FDC">
        <w:t>s</w:t>
      </w:r>
      <w:r w:rsidR="000F3832" w:rsidRPr="00A34FDC">
        <w:t xml:space="preserve"> braille</w:t>
      </w:r>
      <w:r w:rsidR="005A01A5" w:rsidRPr="00A34FDC">
        <w:t xml:space="preserve"> needs can be addressed by </w:t>
      </w:r>
      <w:r w:rsidR="000F3832" w:rsidRPr="00A34FDC">
        <w:t>language rights frameworks.</w:t>
      </w:r>
    </w:p>
    <w:p w14:paraId="1AD223A6" w14:textId="4C844B23" w:rsidR="00803D37" w:rsidRPr="00A34FDC" w:rsidRDefault="000F3832" w:rsidP="00803D37">
      <w:pPr>
        <w:rPr>
          <w:rFonts w:cs="Calibri"/>
        </w:rPr>
      </w:pPr>
      <w:r w:rsidRPr="00A34FDC">
        <w:rPr>
          <w:rFonts w:cs="Calibri"/>
        </w:rPr>
        <w:t>I hope I have given you food for thought as to how l</w:t>
      </w:r>
      <w:r w:rsidR="00803D37" w:rsidRPr="00803D37">
        <w:rPr>
          <w:rFonts w:cs="Calibri"/>
        </w:rPr>
        <w:t xml:space="preserve">anguage rights concepts and instruments </w:t>
      </w:r>
      <w:r w:rsidRPr="00A34FDC">
        <w:rPr>
          <w:rFonts w:cs="Calibri"/>
        </w:rPr>
        <w:t xml:space="preserve">could be useful </w:t>
      </w:r>
      <w:r w:rsidR="00803D37" w:rsidRPr="00803D37">
        <w:rPr>
          <w:rFonts w:cs="Calibri"/>
        </w:rPr>
        <w:t xml:space="preserve">advocacy tools to </w:t>
      </w:r>
      <w:r w:rsidRPr="00A34FDC">
        <w:rPr>
          <w:rFonts w:cs="Calibri"/>
        </w:rPr>
        <w:t xml:space="preserve">help </w:t>
      </w:r>
      <w:r w:rsidR="00803D37" w:rsidRPr="00803D37">
        <w:rPr>
          <w:rFonts w:cs="Calibri"/>
        </w:rPr>
        <w:t>ensure full braille access for blind, deafblind and low-vision people.</w:t>
      </w:r>
      <w:r w:rsidR="009D2C02">
        <w:rPr>
          <w:rFonts w:cs="Calibri"/>
        </w:rPr>
        <w:t xml:space="preserve"> Please contact me with any questions or feedback on this proposal – I’m keen to read your thoughts!</w:t>
      </w:r>
    </w:p>
    <w:p w14:paraId="4D158262" w14:textId="2A9E3C36" w:rsidR="00803D37" w:rsidRPr="00A34FDC" w:rsidRDefault="00803D37" w:rsidP="008F3850">
      <w:pPr>
        <w:pStyle w:val="Heading2"/>
        <w:rPr>
          <w:lang w:val="en-AU"/>
        </w:rPr>
      </w:pPr>
      <w:r w:rsidRPr="00A34FDC">
        <w:rPr>
          <w:lang w:val="en-AU"/>
        </w:rPr>
        <w:t>References</w:t>
      </w:r>
    </w:p>
    <w:p w14:paraId="32DDBEA6" w14:textId="028D1E81" w:rsidR="00FD270E" w:rsidRPr="00A34FDC" w:rsidRDefault="00FD270E" w:rsidP="00FD270E">
      <w:pPr>
        <w:rPr>
          <w:i/>
          <w:iCs/>
        </w:rPr>
      </w:pPr>
      <w:r w:rsidRPr="00A34FDC">
        <w:rPr>
          <w:i/>
          <w:iCs/>
        </w:rPr>
        <w:t xml:space="preserve">Please get in touch if you </w:t>
      </w:r>
      <w:r w:rsidR="00051F57" w:rsidRPr="00A34FDC">
        <w:rPr>
          <w:i/>
          <w:iCs/>
        </w:rPr>
        <w:t xml:space="preserve">can’t access </w:t>
      </w:r>
      <w:r w:rsidRPr="00A34FDC">
        <w:rPr>
          <w:i/>
          <w:iCs/>
        </w:rPr>
        <w:t xml:space="preserve">any of the resources in this list: </w:t>
      </w:r>
      <w:hyperlink r:id="rId13" w:history="1">
        <w:r w:rsidRPr="00A34FDC">
          <w:rPr>
            <w:rStyle w:val="Hyperlink"/>
            <w:i/>
            <w:iCs/>
          </w:rPr>
          <w:t>j.martire@uqconnect.edu.au</w:t>
        </w:r>
      </w:hyperlink>
    </w:p>
    <w:p w14:paraId="1F7FC401" w14:textId="77777777" w:rsidR="00FD270E" w:rsidRPr="00A34FDC" w:rsidRDefault="00803D37" w:rsidP="00FD270E">
      <w:pPr>
        <w:ind w:left="720" w:hanging="720"/>
        <w:rPr>
          <w:rFonts w:cs="Calibri"/>
        </w:rPr>
      </w:pPr>
      <w:r w:rsidRPr="00803D37">
        <w:rPr>
          <w:rFonts w:cs="Calibri"/>
        </w:rPr>
        <w:t xml:space="preserve">Council of Europe (COE). (2023). </w:t>
      </w:r>
      <w:r w:rsidRPr="00803D37">
        <w:rPr>
          <w:rFonts w:cs="Calibri"/>
          <w:i/>
          <w:iCs/>
        </w:rPr>
        <w:t xml:space="preserve">European </w:t>
      </w:r>
      <w:r w:rsidR="00FD270E" w:rsidRPr="00A34FDC">
        <w:rPr>
          <w:rFonts w:cs="Calibri"/>
          <w:i/>
          <w:iCs/>
        </w:rPr>
        <w:t>C</w:t>
      </w:r>
      <w:r w:rsidRPr="00803D37">
        <w:rPr>
          <w:rFonts w:cs="Calibri"/>
          <w:i/>
          <w:iCs/>
        </w:rPr>
        <w:t xml:space="preserve">harter for </w:t>
      </w:r>
      <w:r w:rsidR="00FD270E" w:rsidRPr="00A34FDC">
        <w:rPr>
          <w:rFonts w:cs="Calibri"/>
          <w:i/>
          <w:iCs/>
        </w:rPr>
        <w:t>R</w:t>
      </w:r>
      <w:r w:rsidRPr="00803D37">
        <w:rPr>
          <w:rFonts w:cs="Calibri"/>
          <w:i/>
          <w:iCs/>
        </w:rPr>
        <w:t xml:space="preserve">egional or </w:t>
      </w:r>
      <w:r w:rsidR="00FD270E" w:rsidRPr="00A34FDC">
        <w:rPr>
          <w:rFonts w:cs="Calibri"/>
          <w:i/>
          <w:iCs/>
        </w:rPr>
        <w:t>M</w:t>
      </w:r>
      <w:r w:rsidRPr="00803D37">
        <w:rPr>
          <w:rFonts w:cs="Calibri"/>
          <w:i/>
          <w:iCs/>
        </w:rPr>
        <w:t xml:space="preserve">inority </w:t>
      </w:r>
      <w:r w:rsidR="00FD270E" w:rsidRPr="00A34FDC">
        <w:rPr>
          <w:rFonts w:cs="Calibri"/>
          <w:i/>
          <w:iCs/>
        </w:rPr>
        <w:t>L</w:t>
      </w:r>
      <w:r w:rsidRPr="00803D37">
        <w:rPr>
          <w:rFonts w:cs="Calibri"/>
          <w:i/>
          <w:iCs/>
        </w:rPr>
        <w:t xml:space="preserve">anguages: Collected </w:t>
      </w:r>
      <w:r w:rsidR="00FD270E" w:rsidRPr="00A34FDC">
        <w:rPr>
          <w:rFonts w:cs="Calibri"/>
          <w:i/>
          <w:iCs/>
        </w:rPr>
        <w:t>T</w:t>
      </w:r>
      <w:r w:rsidRPr="00803D37">
        <w:rPr>
          <w:rFonts w:cs="Calibri"/>
          <w:i/>
          <w:iCs/>
        </w:rPr>
        <w:t>exts</w:t>
      </w:r>
      <w:r w:rsidRPr="00803D37">
        <w:rPr>
          <w:rFonts w:cs="Calibri"/>
        </w:rPr>
        <w:t xml:space="preserve"> (3rd ed.). </w:t>
      </w:r>
      <w:hyperlink r:id="rId14" w:history="1">
        <w:r w:rsidRPr="00803D37">
          <w:rPr>
            <w:rStyle w:val="Hyperlink"/>
            <w:rFonts w:cs="Calibri"/>
          </w:rPr>
          <w:t>https://book.coe.int/en/regional-and-minority-languages/11727-pdf-european-charter-for-regional-or-minority-languages-collected-texts-3rd-edition.html</w:t>
        </w:r>
      </w:hyperlink>
      <w:r w:rsidRPr="00803D37">
        <w:rPr>
          <w:rFonts w:cs="Calibri"/>
        </w:rPr>
        <w:t xml:space="preserve"> </w:t>
      </w:r>
    </w:p>
    <w:p w14:paraId="661AEEE8" w14:textId="17CB4CB5" w:rsidR="001C4DAB" w:rsidRPr="00A34FDC" w:rsidRDefault="001C4DAB" w:rsidP="00FD270E">
      <w:pPr>
        <w:ind w:left="720" w:hanging="720"/>
      </w:pPr>
      <w:r w:rsidRPr="00A34FDC">
        <w:t xml:space="preserve">Englebretson, R. (Ed.). (2008). </w:t>
      </w:r>
      <w:r w:rsidRPr="00A34FDC">
        <w:rPr>
          <w:i/>
        </w:rPr>
        <w:t xml:space="preserve">IPA </w:t>
      </w:r>
      <w:r w:rsidR="00F45FA3">
        <w:rPr>
          <w:i/>
        </w:rPr>
        <w:t>B</w:t>
      </w:r>
      <w:r w:rsidRPr="00A34FDC">
        <w:rPr>
          <w:i/>
        </w:rPr>
        <w:t xml:space="preserve">raille: An </w:t>
      </w:r>
      <w:r w:rsidR="00F45FA3">
        <w:rPr>
          <w:i/>
        </w:rPr>
        <w:t>U</w:t>
      </w:r>
      <w:r w:rsidRPr="00A34FDC">
        <w:rPr>
          <w:i/>
        </w:rPr>
        <w:t xml:space="preserve">pdated </w:t>
      </w:r>
      <w:r w:rsidR="00F45FA3">
        <w:rPr>
          <w:i/>
        </w:rPr>
        <w:t>T</w:t>
      </w:r>
      <w:r w:rsidRPr="00A34FDC">
        <w:rPr>
          <w:i/>
        </w:rPr>
        <w:t xml:space="preserve">actile </w:t>
      </w:r>
      <w:r w:rsidR="00F45FA3">
        <w:rPr>
          <w:i/>
        </w:rPr>
        <w:t>R</w:t>
      </w:r>
      <w:r w:rsidRPr="00A34FDC">
        <w:rPr>
          <w:i/>
        </w:rPr>
        <w:t xml:space="preserve">epresentation of the </w:t>
      </w:r>
      <w:r w:rsidR="00F45FA3">
        <w:rPr>
          <w:i/>
        </w:rPr>
        <w:t>I</w:t>
      </w:r>
      <w:r w:rsidRPr="00A34FDC">
        <w:rPr>
          <w:i/>
        </w:rPr>
        <w:t xml:space="preserve">nternational </w:t>
      </w:r>
      <w:r w:rsidR="00F45FA3">
        <w:rPr>
          <w:i/>
        </w:rPr>
        <w:t>P</w:t>
      </w:r>
      <w:r w:rsidRPr="00A34FDC">
        <w:rPr>
          <w:i/>
        </w:rPr>
        <w:t xml:space="preserve">honetic </w:t>
      </w:r>
      <w:r w:rsidR="00F45FA3">
        <w:rPr>
          <w:i/>
        </w:rPr>
        <w:t>A</w:t>
      </w:r>
      <w:r w:rsidRPr="00A34FDC">
        <w:rPr>
          <w:i/>
        </w:rPr>
        <w:t>lphabet</w:t>
      </w:r>
      <w:r w:rsidRPr="00A34FDC">
        <w:t xml:space="preserve"> (Print ed.). CNIB, for the International Council on English Braille. </w:t>
      </w:r>
      <w:hyperlink r:id="rId15" w:history="1">
        <w:r w:rsidRPr="00A34FDC">
          <w:rPr>
            <w:rStyle w:val="Hyperlink"/>
          </w:rPr>
          <w:t>https://iceb.org/IPA-braille_print-ed_final.pdf</w:t>
        </w:r>
      </w:hyperlink>
    </w:p>
    <w:p w14:paraId="2B2BB783" w14:textId="2FEE16E9" w:rsidR="00FD270E" w:rsidRPr="00A34FDC" w:rsidRDefault="00803D37" w:rsidP="00FD270E">
      <w:pPr>
        <w:ind w:left="720" w:hanging="720"/>
        <w:rPr>
          <w:rFonts w:cs="Calibri"/>
        </w:rPr>
      </w:pPr>
      <w:r w:rsidRPr="00803D37">
        <w:rPr>
          <w:rFonts w:cs="Calibri"/>
        </w:rPr>
        <w:t xml:space="preserve">Englebretson, R., Holbrook, M. C., &amp; Fischer-Baum, S. (2023). A </w:t>
      </w:r>
      <w:r w:rsidR="00F45FA3">
        <w:rPr>
          <w:rFonts w:cs="Calibri"/>
        </w:rPr>
        <w:t>P</w:t>
      </w:r>
      <w:r w:rsidRPr="00803D37">
        <w:rPr>
          <w:rFonts w:cs="Calibri"/>
        </w:rPr>
        <w:t xml:space="preserve">osition </w:t>
      </w:r>
      <w:r w:rsidR="00F45FA3">
        <w:rPr>
          <w:rFonts w:cs="Calibri"/>
        </w:rPr>
        <w:t>P</w:t>
      </w:r>
      <w:r w:rsidRPr="00803D37">
        <w:rPr>
          <w:rFonts w:cs="Calibri"/>
        </w:rPr>
        <w:t xml:space="preserve">aper on </w:t>
      </w:r>
      <w:r w:rsidR="00F45FA3">
        <w:rPr>
          <w:rFonts w:cs="Calibri"/>
        </w:rPr>
        <w:t>R</w:t>
      </w:r>
      <w:r w:rsidRPr="00803D37">
        <w:rPr>
          <w:rFonts w:cs="Calibri"/>
        </w:rPr>
        <w:t xml:space="preserve">esearching </w:t>
      </w:r>
      <w:r w:rsidR="00F45FA3">
        <w:rPr>
          <w:rFonts w:cs="Calibri"/>
        </w:rPr>
        <w:t>B</w:t>
      </w:r>
      <w:r w:rsidRPr="00803D37">
        <w:rPr>
          <w:rFonts w:cs="Calibri"/>
        </w:rPr>
        <w:t xml:space="preserve">raille in the </w:t>
      </w:r>
      <w:r w:rsidR="00F45FA3">
        <w:rPr>
          <w:rFonts w:cs="Calibri"/>
        </w:rPr>
        <w:t>C</w:t>
      </w:r>
      <w:r w:rsidRPr="00803D37">
        <w:rPr>
          <w:rFonts w:cs="Calibri"/>
        </w:rPr>
        <w:t xml:space="preserve">ognitive </w:t>
      </w:r>
      <w:r w:rsidR="00F45FA3">
        <w:rPr>
          <w:rFonts w:cs="Calibri"/>
        </w:rPr>
        <w:t>S</w:t>
      </w:r>
      <w:r w:rsidRPr="00803D37">
        <w:rPr>
          <w:rFonts w:cs="Calibri"/>
        </w:rPr>
        <w:t xml:space="preserve">ciences: </w:t>
      </w:r>
      <w:proofErr w:type="spellStart"/>
      <w:r w:rsidRPr="00803D37">
        <w:rPr>
          <w:rFonts w:cs="Calibri"/>
        </w:rPr>
        <w:t>Decentering</w:t>
      </w:r>
      <w:proofErr w:type="spellEnd"/>
      <w:r w:rsidRPr="00803D37">
        <w:rPr>
          <w:rFonts w:cs="Calibri"/>
        </w:rPr>
        <w:t xml:space="preserve"> the </w:t>
      </w:r>
      <w:r w:rsidR="00F45FA3">
        <w:rPr>
          <w:rFonts w:cs="Calibri"/>
        </w:rPr>
        <w:t>S</w:t>
      </w:r>
      <w:r w:rsidRPr="00803D37">
        <w:rPr>
          <w:rFonts w:cs="Calibri"/>
        </w:rPr>
        <w:t xml:space="preserve">ighted </w:t>
      </w:r>
      <w:r w:rsidR="00F45FA3">
        <w:rPr>
          <w:rFonts w:cs="Calibri"/>
        </w:rPr>
        <w:t>N</w:t>
      </w:r>
      <w:r w:rsidRPr="00803D37">
        <w:rPr>
          <w:rFonts w:cs="Calibri"/>
        </w:rPr>
        <w:t xml:space="preserve">orm. </w:t>
      </w:r>
      <w:r w:rsidRPr="00803D37">
        <w:rPr>
          <w:rFonts w:cs="Calibri"/>
          <w:i/>
          <w:iCs/>
        </w:rPr>
        <w:t>Applied Psycholinguistics</w:t>
      </w:r>
      <w:r w:rsidRPr="00803D37">
        <w:rPr>
          <w:rFonts w:cs="Calibri"/>
        </w:rPr>
        <w:t>,</w:t>
      </w:r>
      <w:r w:rsidRPr="00803D37">
        <w:rPr>
          <w:rFonts w:cs="Calibri"/>
          <w:i/>
          <w:iCs/>
        </w:rPr>
        <w:t xml:space="preserve"> 44</w:t>
      </w:r>
      <w:r w:rsidRPr="00803D37">
        <w:rPr>
          <w:rFonts w:cs="Calibri"/>
        </w:rPr>
        <w:t xml:space="preserve">(3), 400–415. </w:t>
      </w:r>
      <w:hyperlink r:id="rId16" w:history="1">
        <w:r w:rsidRPr="00803D37">
          <w:rPr>
            <w:rStyle w:val="Hyperlink"/>
            <w:rFonts w:cs="Calibri"/>
          </w:rPr>
          <w:t>https://doi.org/0.1017/S0142716423000061</w:t>
        </w:r>
      </w:hyperlink>
    </w:p>
    <w:p w14:paraId="7026BC8A" w14:textId="5936CFA8" w:rsidR="00FD270E" w:rsidRPr="00A34FDC" w:rsidRDefault="00803D37" w:rsidP="00FD270E">
      <w:pPr>
        <w:ind w:left="720" w:hanging="720"/>
        <w:rPr>
          <w:rFonts w:cs="Calibri"/>
        </w:rPr>
      </w:pPr>
      <w:r w:rsidRPr="00803D37">
        <w:rPr>
          <w:rFonts w:cs="Calibri"/>
        </w:rPr>
        <w:t xml:space="preserve">Iyengar, A. (2023). More </w:t>
      </w:r>
      <w:r w:rsidR="00F45FA3">
        <w:rPr>
          <w:rFonts w:cs="Calibri"/>
        </w:rPr>
        <w:t>M</w:t>
      </w:r>
      <w:r w:rsidRPr="00803D37">
        <w:rPr>
          <w:rFonts w:cs="Calibri"/>
        </w:rPr>
        <w:t xml:space="preserve">atters of </w:t>
      </w:r>
      <w:r w:rsidR="00F45FA3">
        <w:rPr>
          <w:rFonts w:cs="Calibri"/>
        </w:rPr>
        <w:t>T</w:t>
      </w:r>
      <w:r w:rsidRPr="00803D37">
        <w:rPr>
          <w:rFonts w:cs="Calibri"/>
        </w:rPr>
        <w:t xml:space="preserve">ypology: Alphasyllabaries, </w:t>
      </w:r>
      <w:r w:rsidR="00F45FA3">
        <w:rPr>
          <w:rFonts w:cs="Calibri"/>
        </w:rPr>
        <w:t>A</w:t>
      </w:r>
      <w:r w:rsidRPr="00803D37">
        <w:rPr>
          <w:rFonts w:cs="Calibri"/>
        </w:rPr>
        <w:t xml:space="preserve">bugidas and </w:t>
      </w:r>
      <w:r w:rsidR="00F45FA3">
        <w:rPr>
          <w:rFonts w:cs="Calibri"/>
        </w:rPr>
        <w:t>R</w:t>
      </w:r>
      <w:r w:rsidRPr="00803D37">
        <w:rPr>
          <w:rFonts w:cs="Calibri"/>
        </w:rPr>
        <w:t xml:space="preserve">elated </w:t>
      </w:r>
      <w:r w:rsidR="00F45FA3">
        <w:rPr>
          <w:rFonts w:cs="Calibri"/>
        </w:rPr>
        <w:t>V</w:t>
      </w:r>
      <w:r w:rsidRPr="00803D37">
        <w:rPr>
          <w:rFonts w:cs="Calibri"/>
        </w:rPr>
        <w:t xml:space="preserve">owelled </w:t>
      </w:r>
      <w:r w:rsidR="00F45FA3">
        <w:rPr>
          <w:rFonts w:cs="Calibri"/>
        </w:rPr>
        <w:t>S</w:t>
      </w:r>
      <w:r w:rsidRPr="00803D37">
        <w:rPr>
          <w:rFonts w:cs="Calibri"/>
        </w:rPr>
        <w:t xml:space="preserve">egmentaries. </w:t>
      </w:r>
      <w:r w:rsidRPr="00803D37">
        <w:rPr>
          <w:rFonts w:cs="Calibri"/>
          <w:i/>
          <w:iCs/>
        </w:rPr>
        <w:t>Written Language &amp; Literacy, 26</w:t>
      </w:r>
      <w:r w:rsidRPr="00803D37">
        <w:rPr>
          <w:rFonts w:cs="Calibri"/>
        </w:rPr>
        <w:t xml:space="preserve">(1), 30–56. </w:t>
      </w:r>
      <w:hyperlink r:id="rId17" w:history="1">
        <w:r w:rsidRPr="00803D37">
          <w:rPr>
            <w:rStyle w:val="Hyperlink"/>
            <w:rFonts w:cs="Calibri"/>
          </w:rPr>
          <w:t>https://doi.org/10.1075/wll.00072.iye</w:t>
        </w:r>
      </w:hyperlink>
      <w:r w:rsidRPr="00803D37">
        <w:rPr>
          <w:rFonts w:cs="Calibri"/>
        </w:rPr>
        <w:t xml:space="preserve">  </w:t>
      </w:r>
    </w:p>
    <w:p w14:paraId="2DA9CE48" w14:textId="77777777" w:rsidR="00FD270E" w:rsidRPr="00A34FDC" w:rsidRDefault="00803D37" w:rsidP="00FD270E">
      <w:pPr>
        <w:ind w:left="720" w:hanging="720"/>
        <w:rPr>
          <w:rFonts w:cs="Calibri"/>
        </w:rPr>
      </w:pPr>
      <w:r w:rsidRPr="00803D37">
        <w:rPr>
          <w:rFonts w:cs="Calibri"/>
        </w:rPr>
        <w:t xml:space="preserve">Lee, P., Turley, A., &amp; Thomas, P. (2007). </w:t>
      </w:r>
      <w:r w:rsidRPr="00803D37">
        <w:rPr>
          <w:rFonts w:cs="Calibri"/>
          <w:i/>
          <w:iCs/>
        </w:rPr>
        <w:t xml:space="preserve">The </w:t>
      </w:r>
      <w:r w:rsidR="00FD270E" w:rsidRPr="00A34FDC">
        <w:rPr>
          <w:rFonts w:cs="Calibri"/>
          <w:i/>
          <w:iCs/>
        </w:rPr>
        <w:t>N</w:t>
      </w:r>
      <w:r w:rsidRPr="00803D37">
        <w:rPr>
          <w:rFonts w:cs="Calibri"/>
          <w:i/>
          <w:iCs/>
        </w:rPr>
        <w:t>o-</w:t>
      </w:r>
      <w:r w:rsidR="00FD270E" w:rsidRPr="00A34FDC">
        <w:rPr>
          <w:rFonts w:cs="Calibri"/>
          <w:i/>
          <w:iCs/>
        </w:rPr>
        <w:t>N</w:t>
      </w:r>
      <w:r w:rsidRPr="00803D37">
        <w:rPr>
          <w:rFonts w:cs="Calibri"/>
          <w:i/>
          <w:iCs/>
        </w:rPr>
        <w:t xml:space="preserve">onsense </w:t>
      </w:r>
      <w:r w:rsidR="00FD270E" w:rsidRPr="00A34FDC">
        <w:rPr>
          <w:rFonts w:cs="Calibri"/>
          <w:i/>
          <w:iCs/>
        </w:rPr>
        <w:t>G</w:t>
      </w:r>
      <w:r w:rsidRPr="00803D37">
        <w:rPr>
          <w:rFonts w:cs="Calibri"/>
          <w:i/>
          <w:iCs/>
        </w:rPr>
        <w:t xml:space="preserve">uide to </w:t>
      </w:r>
      <w:r w:rsidR="00FD270E" w:rsidRPr="00A34FDC">
        <w:rPr>
          <w:rFonts w:cs="Calibri"/>
          <w:i/>
          <w:iCs/>
        </w:rPr>
        <w:t>C</w:t>
      </w:r>
      <w:r w:rsidRPr="00803D37">
        <w:rPr>
          <w:rFonts w:cs="Calibri"/>
          <w:i/>
          <w:iCs/>
        </w:rPr>
        <w:t xml:space="preserve">ommunication </w:t>
      </w:r>
      <w:r w:rsidR="00FD270E" w:rsidRPr="00A34FDC">
        <w:rPr>
          <w:rFonts w:cs="Calibri"/>
          <w:i/>
          <w:iCs/>
        </w:rPr>
        <w:t>R</w:t>
      </w:r>
      <w:r w:rsidRPr="00803D37">
        <w:rPr>
          <w:rFonts w:cs="Calibri"/>
          <w:i/>
          <w:iCs/>
        </w:rPr>
        <w:t xml:space="preserve">ights. </w:t>
      </w:r>
      <w:r w:rsidRPr="00803D37">
        <w:rPr>
          <w:rFonts w:cs="Calibri"/>
        </w:rPr>
        <w:t xml:space="preserve">Toronto, Canada: World Association for Christian Communication (WACC). Retrieved from </w:t>
      </w:r>
      <w:hyperlink r:id="rId18" w:history="1">
        <w:r w:rsidRPr="00803D37">
          <w:rPr>
            <w:rStyle w:val="Hyperlink"/>
            <w:rFonts w:cs="Calibri"/>
          </w:rPr>
          <w:t>https://new.waccglobal.org/wp-content/uploads/2020/05/10communication_rights.5.pdf</w:t>
        </w:r>
      </w:hyperlink>
    </w:p>
    <w:p w14:paraId="2BE3D775" w14:textId="02C6B209" w:rsidR="0057457F" w:rsidRPr="00A34FDC" w:rsidRDefault="0057457F" w:rsidP="00FD270E">
      <w:pPr>
        <w:ind w:left="720" w:hanging="720"/>
        <w:rPr>
          <w:rFonts w:cs="Calibri"/>
        </w:rPr>
      </w:pPr>
      <w:r w:rsidRPr="00A34FDC">
        <w:rPr>
          <w:rFonts w:cs="Calibri"/>
        </w:rPr>
        <w:t xml:space="preserve">McKee, R. L., &amp; Manning, V. (2019). Implementing recognition of New Zealand sign language: 2006–2018. In M. De Meulder, J. J. Murray, &amp; R. L. McKee (Eds.), </w:t>
      </w:r>
      <w:r w:rsidRPr="00A34FDC">
        <w:rPr>
          <w:rFonts w:cs="Calibri"/>
          <w:i/>
          <w:iCs/>
        </w:rPr>
        <w:t xml:space="preserve">The </w:t>
      </w:r>
      <w:r w:rsidR="00F45FA3">
        <w:rPr>
          <w:rFonts w:cs="Calibri"/>
          <w:i/>
          <w:iCs/>
        </w:rPr>
        <w:t>L</w:t>
      </w:r>
      <w:r w:rsidRPr="00A34FDC">
        <w:rPr>
          <w:rFonts w:cs="Calibri"/>
          <w:i/>
          <w:iCs/>
        </w:rPr>
        <w:t xml:space="preserve">egal </w:t>
      </w:r>
      <w:r w:rsidR="00F45FA3">
        <w:rPr>
          <w:rFonts w:cs="Calibri"/>
          <w:i/>
          <w:iCs/>
        </w:rPr>
        <w:t>R</w:t>
      </w:r>
      <w:r w:rsidRPr="00A34FDC">
        <w:rPr>
          <w:rFonts w:cs="Calibri"/>
          <w:i/>
          <w:iCs/>
        </w:rPr>
        <w:t xml:space="preserve">ecognition of </w:t>
      </w:r>
      <w:r w:rsidR="00F45FA3">
        <w:rPr>
          <w:rFonts w:cs="Calibri"/>
          <w:i/>
          <w:iCs/>
        </w:rPr>
        <w:t>S</w:t>
      </w:r>
      <w:r w:rsidRPr="00A34FDC">
        <w:rPr>
          <w:rFonts w:cs="Calibri"/>
          <w:i/>
          <w:iCs/>
        </w:rPr>
        <w:t xml:space="preserve">ign </w:t>
      </w:r>
      <w:r w:rsidR="00F45FA3">
        <w:rPr>
          <w:rFonts w:cs="Calibri"/>
          <w:i/>
          <w:iCs/>
        </w:rPr>
        <w:t>L</w:t>
      </w:r>
      <w:r w:rsidRPr="00A34FDC">
        <w:rPr>
          <w:rFonts w:cs="Calibri"/>
          <w:i/>
          <w:iCs/>
        </w:rPr>
        <w:t xml:space="preserve">anguages: Advocacy and </w:t>
      </w:r>
      <w:r w:rsidR="00F45FA3">
        <w:rPr>
          <w:rFonts w:cs="Calibri"/>
          <w:i/>
          <w:iCs/>
        </w:rPr>
        <w:t>O</w:t>
      </w:r>
      <w:r w:rsidRPr="00A34FDC">
        <w:rPr>
          <w:rFonts w:cs="Calibri"/>
          <w:i/>
          <w:iCs/>
        </w:rPr>
        <w:t xml:space="preserve">utcomes </w:t>
      </w:r>
      <w:r w:rsidR="00F45FA3">
        <w:rPr>
          <w:rFonts w:cs="Calibri"/>
          <w:i/>
          <w:iCs/>
        </w:rPr>
        <w:t>A</w:t>
      </w:r>
      <w:r w:rsidRPr="00A34FDC">
        <w:rPr>
          <w:rFonts w:cs="Calibri"/>
          <w:i/>
          <w:iCs/>
        </w:rPr>
        <w:t xml:space="preserve">round the </w:t>
      </w:r>
      <w:r w:rsidR="00F45FA3">
        <w:rPr>
          <w:rFonts w:cs="Calibri"/>
          <w:i/>
          <w:iCs/>
        </w:rPr>
        <w:t>W</w:t>
      </w:r>
      <w:r w:rsidRPr="00A34FDC">
        <w:rPr>
          <w:rFonts w:cs="Calibri"/>
          <w:i/>
          <w:iCs/>
        </w:rPr>
        <w:t>orld</w:t>
      </w:r>
      <w:r w:rsidRPr="00A34FDC">
        <w:rPr>
          <w:rFonts w:cs="Calibri"/>
        </w:rPr>
        <w:t xml:space="preserve"> (pp. 224–237). Multilingual Matters. </w:t>
      </w:r>
      <w:hyperlink r:id="rId19" w:history="1">
        <w:r w:rsidRPr="00A34FDC">
          <w:rPr>
            <w:rStyle w:val="Hyperlink"/>
            <w:rFonts w:cs="Calibri"/>
          </w:rPr>
          <w:t>https://doi.org/10.21832/9781788924016-016</w:t>
        </w:r>
      </w:hyperlink>
      <w:r w:rsidRPr="00A34FDC">
        <w:rPr>
          <w:rFonts w:cs="Calibri"/>
        </w:rPr>
        <w:t xml:space="preserve">  </w:t>
      </w:r>
    </w:p>
    <w:p w14:paraId="1CC219C7" w14:textId="4A8D5ADE" w:rsidR="00FD270E" w:rsidRPr="00A34FDC" w:rsidRDefault="00803D37" w:rsidP="00FD270E">
      <w:pPr>
        <w:ind w:left="720" w:hanging="720"/>
        <w:rPr>
          <w:rFonts w:cs="Calibri"/>
        </w:rPr>
      </w:pPr>
      <w:r w:rsidRPr="00803D37">
        <w:rPr>
          <w:rFonts w:cs="Calibri"/>
        </w:rPr>
        <w:t xml:space="preserve">Minority Rights Group International. (2012). </w:t>
      </w:r>
      <w:r w:rsidRPr="00803D37">
        <w:rPr>
          <w:rFonts w:cs="Calibri"/>
          <w:i/>
          <w:iCs/>
        </w:rPr>
        <w:t xml:space="preserve">Know </w:t>
      </w:r>
      <w:r w:rsidR="00FD270E" w:rsidRPr="00A34FDC">
        <w:rPr>
          <w:rFonts w:cs="Calibri"/>
          <w:i/>
          <w:iCs/>
        </w:rPr>
        <w:t>Y</w:t>
      </w:r>
      <w:r w:rsidRPr="00803D37">
        <w:rPr>
          <w:rFonts w:cs="Calibri"/>
          <w:i/>
          <w:iCs/>
        </w:rPr>
        <w:t xml:space="preserve">our </w:t>
      </w:r>
      <w:r w:rsidR="00FD270E" w:rsidRPr="00A34FDC">
        <w:rPr>
          <w:rFonts w:cs="Calibri"/>
          <w:i/>
          <w:iCs/>
        </w:rPr>
        <w:t>R</w:t>
      </w:r>
      <w:r w:rsidRPr="00803D37">
        <w:rPr>
          <w:rFonts w:cs="Calibri"/>
          <w:i/>
          <w:iCs/>
        </w:rPr>
        <w:t xml:space="preserve">ights: A </w:t>
      </w:r>
      <w:r w:rsidR="00FD270E" w:rsidRPr="00A34FDC">
        <w:rPr>
          <w:rFonts w:cs="Calibri"/>
          <w:i/>
          <w:iCs/>
        </w:rPr>
        <w:t>C</w:t>
      </w:r>
      <w:r w:rsidRPr="00803D37">
        <w:rPr>
          <w:rFonts w:cs="Calibri"/>
          <w:i/>
          <w:iCs/>
        </w:rPr>
        <w:t xml:space="preserve">ommunity </w:t>
      </w:r>
      <w:r w:rsidR="00FD270E" w:rsidRPr="00A34FDC">
        <w:rPr>
          <w:rFonts w:cs="Calibri"/>
          <w:i/>
          <w:iCs/>
        </w:rPr>
        <w:t>G</w:t>
      </w:r>
      <w:r w:rsidRPr="00803D37">
        <w:rPr>
          <w:rFonts w:cs="Calibri"/>
          <w:i/>
          <w:iCs/>
        </w:rPr>
        <w:t>uide to the UN Declaration on Minorities</w:t>
      </w:r>
      <w:r w:rsidRPr="00803D37">
        <w:rPr>
          <w:rFonts w:cs="Calibri"/>
        </w:rPr>
        <w:t xml:space="preserve">. </w:t>
      </w:r>
      <w:hyperlink r:id="rId20" w:history="1">
        <w:r w:rsidRPr="00803D37">
          <w:rPr>
            <w:rStyle w:val="Hyperlink"/>
            <w:rFonts w:cs="Calibri"/>
          </w:rPr>
          <w:t>https://minorityrights.org/resources/know-your-rights-a-community-guide-to-the-un-declaration-on-minorities/</w:t>
        </w:r>
      </w:hyperlink>
    </w:p>
    <w:p w14:paraId="56408300" w14:textId="77777777" w:rsidR="00BB4045" w:rsidRPr="00A34FDC" w:rsidRDefault="00803D37" w:rsidP="00BB4045">
      <w:pPr>
        <w:ind w:left="720" w:hanging="720"/>
        <w:rPr>
          <w:rFonts w:cs="Calibri"/>
        </w:rPr>
      </w:pPr>
      <w:r w:rsidRPr="00803D37">
        <w:rPr>
          <w:rFonts w:cs="Calibri"/>
        </w:rPr>
        <w:t xml:space="preserve">OHCHR. (1992). </w:t>
      </w:r>
      <w:r w:rsidRPr="00803D37">
        <w:rPr>
          <w:rFonts w:cs="Calibri"/>
          <w:i/>
          <w:iCs/>
        </w:rPr>
        <w:t>Declaration on the Rights of Persons Belonging to National or Ethnic, Religious and Linguistic Minorities (General Assembly resolution 47/135)</w:t>
      </w:r>
      <w:r w:rsidRPr="00803D37">
        <w:rPr>
          <w:rFonts w:cs="Calibri"/>
        </w:rPr>
        <w:t xml:space="preserve">. </w:t>
      </w:r>
      <w:hyperlink r:id="rId21" w:history="1">
        <w:r w:rsidRPr="00803D37">
          <w:rPr>
            <w:rStyle w:val="Hyperlink"/>
            <w:rFonts w:cs="Calibri"/>
          </w:rPr>
          <w:t>https://www.ohchr.org/en/instruments-mechanisms/instruments/declaration-rights-persons-belonging-national-or-ethnic</w:t>
        </w:r>
      </w:hyperlink>
      <w:r w:rsidRPr="00803D37">
        <w:rPr>
          <w:rFonts w:cs="Calibri"/>
        </w:rPr>
        <w:t xml:space="preserve"> </w:t>
      </w:r>
    </w:p>
    <w:p w14:paraId="728F0D25" w14:textId="18C15A9D" w:rsidR="00BB4045" w:rsidRPr="00A34FDC" w:rsidRDefault="00BB4045" w:rsidP="00BB4045">
      <w:pPr>
        <w:ind w:left="720" w:hanging="720"/>
        <w:rPr>
          <w:rFonts w:cs="Calibri"/>
        </w:rPr>
      </w:pPr>
      <w:r w:rsidRPr="00A34FDC">
        <w:t xml:space="preserve">OHCHR. (2024). </w:t>
      </w:r>
      <w:r w:rsidRPr="00A34FDC">
        <w:rPr>
          <w:i/>
        </w:rPr>
        <w:t xml:space="preserve">About the </w:t>
      </w:r>
      <w:r w:rsidR="00F45FA3">
        <w:rPr>
          <w:i/>
        </w:rPr>
        <w:t>M</w:t>
      </w:r>
      <w:r w:rsidRPr="00A34FDC">
        <w:rPr>
          <w:i/>
        </w:rPr>
        <w:t xml:space="preserve">andate: Special Rapporteur on </w:t>
      </w:r>
      <w:r w:rsidR="00F45FA3">
        <w:rPr>
          <w:i/>
        </w:rPr>
        <w:t>M</w:t>
      </w:r>
      <w:r w:rsidRPr="00A34FDC">
        <w:rPr>
          <w:i/>
        </w:rPr>
        <w:t xml:space="preserve">inority </w:t>
      </w:r>
      <w:r w:rsidR="00F45FA3">
        <w:rPr>
          <w:i/>
        </w:rPr>
        <w:t>I</w:t>
      </w:r>
      <w:r w:rsidRPr="00A34FDC">
        <w:rPr>
          <w:i/>
        </w:rPr>
        <w:t>ssues</w:t>
      </w:r>
      <w:r w:rsidRPr="00A34FDC">
        <w:t xml:space="preserve">. Retrieved April 7, </w:t>
      </w:r>
      <w:r w:rsidR="00C73F69" w:rsidRPr="00A34FDC">
        <w:t>2024,</w:t>
      </w:r>
      <w:r w:rsidRPr="00A34FDC">
        <w:t xml:space="preserve"> from </w:t>
      </w:r>
      <w:hyperlink r:id="rId22" w:history="1">
        <w:r w:rsidRPr="00A34FDC">
          <w:rPr>
            <w:rStyle w:val="Hyperlink"/>
          </w:rPr>
          <w:t>https://www.ohchr.org/en/special-procedures/sr-minority-issues/about-mandate</w:t>
        </w:r>
      </w:hyperlink>
      <w:r w:rsidRPr="00A34FDC">
        <w:t xml:space="preserve"> </w:t>
      </w:r>
    </w:p>
    <w:p w14:paraId="309374F0" w14:textId="77777777" w:rsidR="00FD270E" w:rsidRPr="00A34FDC" w:rsidRDefault="00803D37" w:rsidP="00FD270E">
      <w:pPr>
        <w:ind w:left="720" w:hanging="720"/>
        <w:rPr>
          <w:rFonts w:cs="Calibri"/>
        </w:rPr>
      </w:pPr>
      <w:r w:rsidRPr="00803D37">
        <w:rPr>
          <w:rFonts w:cs="Calibri"/>
        </w:rPr>
        <w:t xml:space="preserve">PEN International. (2011). </w:t>
      </w:r>
      <w:r w:rsidRPr="00803D37">
        <w:rPr>
          <w:rFonts w:cs="Calibri"/>
          <w:i/>
          <w:iCs/>
        </w:rPr>
        <w:t xml:space="preserve">Girona </w:t>
      </w:r>
      <w:r w:rsidR="00FD270E" w:rsidRPr="00A34FDC">
        <w:rPr>
          <w:rFonts w:cs="Calibri"/>
          <w:i/>
          <w:iCs/>
        </w:rPr>
        <w:t>M</w:t>
      </w:r>
      <w:r w:rsidRPr="00803D37">
        <w:rPr>
          <w:rFonts w:cs="Calibri"/>
          <w:i/>
          <w:iCs/>
        </w:rPr>
        <w:t xml:space="preserve">anifesto on </w:t>
      </w:r>
      <w:r w:rsidR="00FD270E" w:rsidRPr="00A34FDC">
        <w:rPr>
          <w:rFonts w:cs="Calibri"/>
          <w:i/>
          <w:iCs/>
        </w:rPr>
        <w:t>L</w:t>
      </w:r>
      <w:r w:rsidRPr="00803D37">
        <w:rPr>
          <w:rFonts w:cs="Calibri"/>
          <w:i/>
          <w:iCs/>
        </w:rPr>
        <w:t xml:space="preserve">inguistic </w:t>
      </w:r>
      <w:r w:rsidR="00FD270E" w:rsidRPr="00A34FDC">
        <w:rPr>
          <w:rFonts w:cs="Calibri"/>
          <w:i/>
          <w:iCs/>
        </w:rPr>
        <w:t>R</w:t>
      </w:r>
      <w:r w:rsidRPr="00803D37">
        <w:rPr>
          <w:rFonts w:cs="Calibri"/>
          <w:i/>
          <w:iCs/>
        </w:rPr>
        <w:t>ights</w:t>
      </w:r>
      <w:r w:rsidRPr="00803D37">
        <w:rPr>
          <w:rFonts w:cs="Calibri"/>
        </w:rPr>
        <w:t xml:space="preserve">. </w:t>
      </w:r>
      <w:hyperlink r:id="rId23" w:history="1">
        <w:r w:rsidRPr="00803D37">
          <w:rPr>
            <w:rStyle w:val="Hyperlink"/>
            <w:rFonts w:cs="Calibri"/>
          </w:rPr>
          <w:t>https://pen-international.org/promoting-linguistic-rights/pens-girona-manifesto</w:t>
        </w:r>
      </w:hyperlink>
      <w:r w:rsidRPr="00803D37">
        <w:rPr>
          <w:rFonts w:cs="Calibri"/>
        </w:rPr>
        <w:t xml:space="preserve"> </w:t>
      </w:r>
    </w:p>
    <w:p w14:paraId="16F2B8BF" w14:textId="492507F8" w:rsidR="00FD270E" w:rsidRPr="00A34FDC" w:rsidRDefault="00803D37" w:rsidP="00FD270E">
      <w:pPr>
        <w:ind w:left="720" w:hanging="720"/>
        <w:rPr>
          <w:rFonts w:cs="Calibri"/>
        </w:rPr>
      </w:pPr>
      <w:r w:rsidRPr="00803D37">
        <w:rPr>
          <w:rFonts w:cs="Calibri"/>
        </w:rPr>
        <w:t xml:space="preserve">Skutnabb-Kangas, T., &amp; Phillipson, R. (Eds.). (2023). </w:t>
      </w:r>
      <w:r w:rsidRPr="00803D37">
        <w:rPr>
          <w:rFonts w:cs="Calibri"/>
          <w:i/>
          <w:iCs/>
        </w:rPr>
        <w:t xml:space="preserve">The </w:t>
      </w:r>
      <w:r w:rsidR="00FD270E" w:rsidRPr="00A34FDC">
        <w:rPr>
          <w:rFonts w:cs="Calibri"/>
          <w:i/>
          <w:iCs/>
        </w:rPr>
        <w:t>H</w:t>
      </w:r>
      <w:r w:rsidRPr="00803D37">
        <w:rPr>
          <w:rFonts w:cs="Calibri"/>
          <w:i/>
          <w:iCs/>
        </w:rPr>
        <w:t xml:space="preserve">andbook of </w:t>
      </w:r>
      <w:r w:rsidR="00FD270E" w:rsidRPr="00A34FDC">
        <w:rPr>
          <w:rFonts w:cs="Calibri"/>
          <w:i/>
          <w:iCs/>
        </w:rPr>
        <w:t>L</w:t>
      </w:r>
      <w:r w:rsidRPr="00803D37">
        <w:rPr>
          <w:rFonts w:cs="Calibri"/>
          <w:i/>
          <w:iCs/>
        </w:rPr>
        <w:t xml:space="preserve">inguistic </w:t>
      </w:r>
      <w:r w:rsidR="00FD270E" w:rsidRPr="00A34FDC">
        <w:rPr>
          <w:rFonts w:cs="Calibri"/>
          <w:i/>
          <w:iCs/>
        </w:rPr>
        <w:t>H</w:t>
      </w:r>
      <w:r w:rsidRPr="00803D37">
        <w:rPr>
          <w:rFonts w:cs="Calibri"/>
          <w:i/>
          <w:iCs/>
        </w:rPr>
        <w:t xml:space="preserve">uman </w:t>
      </w:r>
      <w:r w:rsidR="00FD270E" w:rsidRPr="00A34FDC">
        <w:rPr>
          <w:rFonts w:cs="Calibri"/>
          <w:i/>
          <w:iCs/>
        </w:rPr>
        <w:t>R</w:t>
      </w:r>
      <w:r w:rsidRPr="00803D37">
        <w:rPr>
          <w:rFonts w:cs="Calibri"/>
          <w:i/>
          <w:iCs/>
        </w:rPr>
        <w:t>ights</w:t>
      </w:r>
      <w:r w:rsidRPr="00803D37">
        <w:rPr>
          <w:rFonts w:cs="Calibri"/>
        </w:rPr>
        <w:t xml:space="preserve">. Wiley Blackwell. </w:t>
      </w:r>
      <w:hyperlink r:id="rId24" w:history="1">
        <w:r w:rsidR="00FD270E" w:rsidRPr="00A34FDC">
          <w:rPr>
            <w:rStyle w:val="Hyperlink"/>
            <w:rFonts w:cs="Calibri"/>
          </w:rPr>
          <w:t>https://onlinelibrary.wiley.com/doi/book/10.1002/9781119753926</w:t>
        </w:r>
      </w:hyperlink>
      <w:r w:rsidR="00FD270E" w:rsidRPr="00A34FDC">
        <w:rPr>
          <w:rFonts w:cs="Calibri"/>
        </w:rPr>
        <w:t xml:space="preserve"> </w:t>
      </w:r>
    </w:p>
    <w:p w14:paraId="39F476BD" w14:textId="77777777" w:rsidR="00FD270E" w:rsidRPr="00A34FDC" w:rsidRDefault="00803D37" w:rsidP="00FD270E">
      <w:pPr>
        <w:ind w:left="720" w:hanging="720"/>
        <w:rPr>
          <w:rFonts w:cs="Calibri"/>
        </w:rPr>
      </w:pPr>
      <w:r w:rsidRPr="00803D37">
        <w:rPr>
          <w:rFonts w:cs="Calibri"/>
        </w:rPr>
        <w:t xml:space="preserve">United Nations Special Rapporteur on Minority Issues. (2017). </w:t>
      </w:r>
      <w:r w:rsidRPr="00803D37">
        <w:rPr>
          <w:rFonts w:cs="Calibri"/>
          <w:i/>
          <w:iCs/>
        </w:rPr>
        <w:t xml:space="preserve">Language </w:t>
      </w:r>
      <w:r w:rsidR="00FD270E" w:rsidRPr="00A34FDC">
        <w:rPr>
          <w:rFonts w:cs="Calibri"/>
          <w:i/>
          <w:iCs/>
        </w:rPr>
        <w:t>R</w:t>
      </w:r>
      <w:r w:rsidRPr="00803D37">
        <w:rPr>
          <w:rFonts w:cs="Calibri"/>
          <w:i/>
          <w:iCs/>
        </w:rPr>
        <w:t xml:space="preserve">ights of </w:t>
      </w:r>
      <w:r w:rsidR="00FD270E" w:rsidRPr="00A34FDC">
        <w:rPr>
          <w:rFonts w:cs="Calibri"/>
          <w:i/>
          <w:iCs/>
        </w:rPr>
        <w:t>L</w:t>
      </w:r>
      <w:r w:rsidRPr="00803D37">
        <w:rPr>
          <w:rFonts w:cs="Calibri"/>
          <w:i/>
          <w:iCs/>
        </w:rPr>
        <w:t xml:space="preserve">inguistic </w:t>
      </w:r>
      <w:r w:rsidR="00FD270E" w:rsidRPr="00A34FDC">
        <w:rPr>
          <w:rFonts w:cs="Calibri"/>
          <w:i/>
          <w:iCs/>
        </w:rPr>
        <w:t>M</w:t>
      </w:r>
      <w:r w:rsidRPr="00803D37">
        <w:rPr>
          <w:rFonts w:cs="Calibri"/>
          <w:i/>
          <w:iCs/>
        </w:rPr>
        <w:t xml:space="preserve">inorities: A </w:t>
      </w:r>
      <w:r w:rsidR="00FD270E" w:rsidRPr="00A34FDC">
        <w:rPr>
          <w:rFonts w:cs="Calibri"/>
          <w:i/>
          <w:iCs/>
        </w:rPr>
        <w:t>P</w:t>
      </w:r>
      <w:r w:rsidRPr="00803D37">
        <w:rPr>
          <w:rFonts w:cs="Calibri"/>
          <w:i/>
          <w:iCs/>
        </w:rPr>
        <w:t xml:space="preserve">ractical </w:t>
      </w:r>
      <w:r w:rsidR="00FD270E" w:rsidRPr="00A34FDC">
        <w:rPr>
          <w:rFonts w:cs="Calibri"/>
          <w:i/>
          <w:iCs/>
        </w:rPr>
        <w:t>G</w:t>
      </w:r>
      <w:r w:rsidRPr="00803D37">
        <w:rPr>
          <w:rFonts w:cs="Calibri"/>
          <w:i/>
          <w:iCs/>
        </w:rPr>
        <w:t xml:space="preserve">uide for </w:t>
      </w:r>
      <w:r w:rsidR="00FD270E" w:rsidRPr="00A34FDC">
        <w:rPr>
          <w:rFonts w:cs="Calibri"/>
          <w:i/>
          <w:iCs/>
        </w:rPr>
        <w:t>I</w:t>
      </w:r>
      <w:r w:rsidRPr="00803D37">
        <w:rPr>
          <w:rFonts w:cs="Calibri"/>
          <w:i/>
          <w:iCs/>
        </w:rPr>
        <w:t xml:space="preserve">mplementation. </w:t>
      </w:r>
      <w:r w:rsidRPr="00803D37">
        <w:rPr>
          <w:rFonts w:cs="Calibri"/>
        </w:rPr>
        <w:t xml:space="preserve">Office of the High Commissioner for Human Rights. </w:t>
      </w:r>
      <w:hyperlink r:id="rId25" w:history="1">
        <w:r w:rsidRPr="00803D37">
          <w:rPr>
            <w:rStyle w:val="Hyperlink"/>
            <w:rFonts w:cs="Calibri"/>
          </w:rPr>
          <w:t>https://www.ohchr.org/en/documents/tools-and-resources/language-rights-linguistic-minorities-practical-guide-implementation</w:t>
        </w:r>
      </w:hyperlink>
      <w:r w:rsidRPr="00803D37">
        <w:rPr>
          <w:rFonts w:cs="Calibri"/>
        </w:rPr>
        <w:t xml:space="preserve">  </w:t>
      </w:r>
    </w:p>
    <w:p w14:paraId="3BE94D68" w14:textId="77777777" w:rsidR="00FD270E" w:rsidRPr="00A34FDC" w:rsidRDefault="00803D37" w:rsidP="00FD270E">
      <w:pPr>
        <w:ind w:left="720" w:hanging="720"/>
        <w:rPr>
          <w:rFonts w:cs="Calibri"/>
        </w:rPr>
      </w:pPr>
      <w:r w:rsidRPr="00803D37">
        <w:rPr>
          <w:rFonts w:cs="Calibri"/>
        </w:rPr>
        <w:t xml:space="preserve">Universal Declaration of Linguistic Rights Follow-up Committee. (1998). </w:t>
      </w:r>
      <w:r w:rsidRPr="00803D37">
        <w:rPr>
          <w:rFonts w:cs="Calibri"/>
          <w:i/>
          <w:iCs/>
        </w:rPr>
        <w:t xml:space="preserve">Universal </w:t>
      </w:r>
      <w:r w:rsidR="00FD270E" w:rsidRPr="00A34FDC">
        <w:rPr>
          <w:rFonts w:cs="Calibri"/>
          <w:i/>
          <w:iCs/>
        </w:rPr>
        <w:t>D</w:t>
      </w:r>
      <w:r w:rsidRPr="00803D37">
        <w:rPr>
          <w:rFonts w:cs="Calibri"/>
          <w:i/>
          <w:iCs/>
        </w:rPr>
        <w:t xml:space="preserve">eclaration of </w:t>
      </w:r>
      <w:r w:rsidR="00FD270E" w:rsidRPr="00A34FDC">
        <w:rPr>
          <w:rFonts w:cs="Calibri"/>
          <w:i/>
          <w:iCs/>
        </w:rPr>
        <w:t>L</w:t>
      </w:r>
      <w:r w:rsidRPr="00803D37">
        <w:rPr>
          <w:rFonts w:cs="Calibri"/>
          <w:i/>
          <w:iCs/>
        </w:rPr>
        <w:t xml:space="preserve">inguistic </w:t>
      </w:r>
      <w:r w:rsidR="00FD270E" w:rsidRPr="00A34FDC">
        <w:rPr>
          <w:rFonts w:cs="Calibri"/>
          <w:i/>
          <w:iCs/>
        </w:rPr>
        <w:t>R</w:t>
      </w:r>
      <w:r w:rsidRPr="00803D37">
        <w:rPr>
          <w:rFonts w:cs="Calibri"/>
          <w:i/>
          <w:iCs/>
        </w:rPr>
        <w:t>ights</w:t>
      </w:r>
      <w:r w:rsidRPr="00803D37">
        <w:rPr>
          <w:rFonts w:cs="Calibri"/>
        </w:rPr>
        <w:t xml:space="preserve">. </w:t>
      </w:r>
      <w:hyperlink r:id="rId26" w:history="1">
        <w:r w:rsidRPr="00803D37">
          <w:rPr>
            <w:rStyle w:val="Hyperlink"/>
            <w:rFonts w:cs="Calibri"/>
          </w:rPr>
          <w:t>https://pen-international.org/who-we-are/manifestos/the-girona-manifesto-on-linguistic-rights/the-universal-declaration-on-linguistic-rights</w:t>
        </w:r>
      </w:hyperlink>
      <w:r w:rsidRPr="00803D37">
        <w:rPr>
          <w:rFonts w:cs="Calibri"/>
        </w:rPr>
        <w:t xml:space="preserve"> </w:t>
      </w:r>
    </w:p>
    <w:p w14:paraId="30BC940A" w14:textId="5BC6BCAE" w:rsidR="00803D37" w:rsidRPr="00A34FDC" w:rsidRDefault="00803D37" w:rsidP="00FD270E">
      <w:pPr>
        <w:ind w:left="720" w:hanging="720"/>
        <w:rPr>
          <w:rFonts w:cs="Calibri"/>
        </w:rPr>
      </w:pPr>
      <w:r w:rsidRPr="00803D37">
        <w:rPr>
          <w:rFonts w:cs="Calibri"/>
        </w:rPr>
        <w:t xml:space="preserve">World Blind Union (WBU). (2024, January 4). World Blind Union </w:t>
      </w:r>
      <w:r w:rsidR="00F45FA3">
        <w:rPr>
          <w:rFonts w:cs="Calibri"/>
        </w:rPr>
        <w:t>S</w:t>
      </w:r>
      <w:r w:rsidRPr="00803D37">
        <w:rPr>
          <w:rFonts w:cs="Calibri"/>
        </w:rPr>
        <w:t xml:space="preserve">tatement on World Braille Day – Celebrating 200 years of braille. </w:t>
      </w:r>
      <w:r w:rsidRPr="00803D37">
        <w:rPr>
          <w:rFonts w:cs="Calibri"/>
          <w:i/>
          <w:iCs/>
        </w:rPr>
        <w:t>Mass.gov</w:t>
      </w:r>
      <w:r w:rsidRPr="00803D37">
        <w:rPr>
          <w:rFonts w:cs="Calibri"/>
        </w:rPr>
        <w:t xml:space="preserve">. </w:t>
      </w:r>
      <w:hyperlink r:id="rId27" w:history="1">
        <w:r w:rsidRPr="00803D37">
          <w:rPr>
            <w:rStyle w:val="Hyperlink"/>
            <w:rFonts w:cs="Calibri"/>
          </w:rPr>
          <w:t>https://www.mass.gov/news/world-blind-union-statement-on-world-braille-day-celebrating-200-years-of-braille</w:t>
        </w:r>
      </w:hyperlink>
      <w:r w:rsidRPr="00803D37">
        <w:rPr>
          <w:rFonts w:cs="Calibri"/>
        </w:rPr>
        <w:t xml:space="preserve"> </w:t>
      </w:r>
    </w:p>
    <w:sectPr w:rsidR="00803D37" w:rsidRPr="00A34FDC">
      <w:foot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BFE460" w14:textId="77777777" w:rsidR="00FC2A74" w:rsidRDefault="00FC2A74" w:rsidP="00FC2A74">
      <w:pPr>
        <w:spacing w:after="0" w:line="240" w:lineRule="auto"/>
      </w:pPr>
      <w:r>
        <w:separator/>
      </w:r>
    </w:p>
  </w:endnote>
  <w:endnote w:type="continuationSeparator" w:id="0">
    <w:p w14:paraId="34203BCD" w14:textId="77777777" w:rsidR="00FC2A74" w:rsidRDefault="00FC2A74" w:rsidP="00FC2A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CF112C" w14:textId="752198CA" w:rsidR="00FC2A74" w:rsidRPr="00FC2A74" w:rsidRDefault="00FC2A74" w:rsidP="00FC2A74">
    <w:pPr>
      <w:pStyle w:val="Header"/>
      <w:jc w:val="center"/>
      <w:rPr>
        <w:rFonts w:asciiTheme="minorHAnsi" w:hAnsiTheme="minorHAnsi" w:cstheme="minorHAnsi"/>
        <w:caps/>
        <w:color w:val="0070C0"/>
        <w:kern w:val="18"/>
        <w:sz w:val="18"/>
        <w:szCs w:val="18"/>
        <w:lang w:val="en-US"/>
      </w:rPr>
    </w:pPr>
    <w:r w:rsidRPr="00FC2A74">
      <w:rPr>
        <w:rFonts w:asciiTheme="minorHAnsi" w:hAnsiTheme="minorHAnsi" w:cstheme="minorHAnsi"/>
        <w:color w:val="0070C0"/>
        <w:kern w:val="18"/>
        <w:sz w:val="18"/>
        <w:szCs w:val="18"/>
        <w:lang w:val="en-US"/>
      </w:rPr>
      <w:t xml:space="preserve">Proposal: Using language rights to advocate for braille </w:t>
    </w:r>
    <w:r w:rsidRPr="00FC2A74">
      <w:rPr>
        <w:rFonts w:asciiTheme="minorHAnsi" w:hAnsiTheme="minorHAnsi" w:cstheme="minorHAnsi"/>
        <w:color w:val="0070C0"/>
        <w:kern w:val="18"/>
        <w:sz w:val="18"/>
        <w:szCs w:val="18"/>
        <w:lang w:val="en-US"/>
      </w:rPr>
      <w:br/>
      <w:t>Jodie Lea Martire</w:t>
    </w:r>
    <w:r w:rsidRPr="00FC2A74">
      <w:rPr>
        <w:rFonts w:asciiTheme="minorHAnsi" w:hAnsiTheme="minorHAnsi" w:cstheme="minorHAnsi"/>
        <w:caps/>
        <w:color w:val="0070C0"/>
        <w:kern w:val="18"/>
        <w:sz w:val="18"/>
        <w:szCs w:val="18"/>
        <w:lang w:val="en-US"/>
      </w:rPr>
      <w:t xml:space="preserve"> – </w:t>
    </w:r>
    <w:r w:rsidRPr="00FC2A74">
      <w:rPr>
        <w:rFonts w:asciiTheme="minorHAnsi" w:hAnsiTheme="minorHAnsi" w:cstheme="minorHAnsi"/>
        <w:color w:val="0070C0"/>
        <w:kern w:val="18"/>
        <w:sz w:val="18"/>
        <w:szCs w:val="18"/>
        <w:lang w:val="en-US"/>
      </w:rPr>
      <w:t>j.martire@uqconnect.edu.au</w:t>
    </w:r>
    <w:r w:rsidRPr="00FC2A74">
      <w:rPr>
        <w:rFonts w:asciiTheme="minorHAnsi" w:hAnsiTheme="minorHAnsi" w:cstheme="minorHAnsi"/>
        <w:caps/>
        <w:color w:val="0070C0"/>
        <w:kern w:val="18"/>
        <w:sz w:val="18"/>
        <w:szCs w:val="18"/>
        <w:lang w:val="en-US"/>
      </w:rPr>
      <w:t xml:space="preserve">– </w:t>
    </w:r>
    <w:r w:rsidRPr="00FC2A74">
      <w:rPr>
        <w:rFonts w:asciiTheme="minorHAnsi" w:hAnsiTheme="minorHAnsi" w:cstheme="minorHAnsi"/>
        <w:color w:val="0070C0"/>
        <w:kern w:val="18"/>
        <w:sz w:val="18"/>
        <w:szCs w:val="18"/>
        <w:lang w:val="en-US"/>
      </w:rPr>
      <w:t>page</w:t>
    </w:r>
    <w:r w:rsidRPr="00FC2A74">
      <w:rPr>
        <w:rFonts w:asciiTheme="minorHAnsi" w:hAnsiTheme="minorHAnsi" w:cstheme="minorHAnsi"/>
        <w:caps/>
        <w:color w:val="0070C0"/>
        <w:kern w:val="18"/>
        <w:sz w:val="18"/>
        <w:szCs w:val="18"/>
        <w:lang w:val="en-US"/>
      </w:rPr>
      <w:t xml:space="preserve"> </w:t>
    </w:r>
    <w:r w:rsidRPr="00FC2A74">
      <w:rPr>
        <w:rFonts w:asciiTheme="minorHAnsi" w:hAnsiTheme="minorHAnsi" w:cstheme="minorHAnsi"/>
        <w:caps/>
        <w:color w:val="0070C0"/>
        <w:kern w:val="18"/>
        <w:sz w:val="18"/>
        <w:szCs w:val="18"/>
        <w:lang w:val="en-US"/>
      </w:rPr>
      <w:fldChar w:fldCharType="begin"/>
    </w:r>
    <w:r w:rsidRPr="00FC2A74">
      <w:rPr>
        <w:rFonts w:asciiTheme="minorHAnsi" w:hAnsiTheme="minorHAnsi" w:cstheme="minorHAnsi"/>
        <w:caps/>
        <w:color w:val="0070C0"/>
        <w:kern w:val="18"/>
        <w:sz w:val="18"/>
        <w:szCs w:val="18"/>
        <w:lang w:val="en-US"/>
      </w:rPr>
      <w:instrText xml:space="preserve"> PAGE </w:instrText>
    </w:r>
    <w:r w:rsidRPr="00FC2A74">
      <w:rPr>
        <w:rFonts w:asciiTheme="minorHAnsi" w:hAnsiTheme="minorHAnsi" w:cstheme="minorHAnsi"/>
        <w:caps/>
        <w:color w:val="0070C0"/>
        <w:kern w:val="18"/>
        <w:sz w:val="18"/>
        <w:szCs w:val="18"/>
        <w:lang w:val="en-US"/>
      </w:rPr>
      <w:fldChar w:fldCharType="separate"/>
    </w:r>
    <w:r w:rsidRPr="00FC2A74">
      <w:rPr>
        <w:rFonts w:asciiTheme="minorHAnsi" w:hAnsiTheme="minorHAnsi" w:cstheme="minorHAnsi"/>
        <w:caps/>
        <w:color w:val="0070C0"/>
        <w:kern w:val="18"/>
        <w:sz w:val="18"/>
        <w:szCs w:val="18"/>
        <w:lang w:val="en-US"/>
      </w:rPr>
      <w:t>1</w:t>
    </w:r>
    <w:r w:rsidRPr="00FC2A74">
      <w:rPr>
        <w:rFonts w:asciiTheme="minorHAnsi" w:hAnsiTheme="minorHAnsi" w:cstheme="minorHAnsi"/>
        <w:caps/>
        <w:color w:val="0070C0"/>
        <w:kern w:val="18"/>
        <w:sz w:val="18"/>
        <w:szCs w:val="18"/>
        <w:lang w:val="en-US"/>
      </w:rPr>
      <w:fldChar w:fldCharType="end"/>
    </w:r>
    <w:r w:rsidRPr="00FC2A74">
      <w:rPr>
        <w:rFonts w:asciiTheme="minorHAnsi" w:hAnsiTheme="minorHAnsi" w:cstheme="minorHAnsi"/>
        <w:caps/>
        <w:color w:val="0070C0"/>
        <w:kern w:val="18"/>
        <w:sz w:val="18"/>
        <w:szCs w:val="18"/>
        <w:lang w:val="en-US"/>
      </w:rPr>
      <w:t xml:space="preserve"> </w:t>
    </w:r>
    <w:r w:rsidRPr="00FC2A74">
      <w:rPr>
        <w:rFonts w:asciiTheme="minorHAnsi" w:hAnsiTheme="minorHAnsi" w:cstheme="minorHAnsi"/>
        <w:color w:val="0070C0"/>
        <w:kern w:val="18"/>
        <w:sz w:val="18"/>
        <w:szCs w:val="18"/>
        <w:lang w:val="en-US"/>
      </w:rPr>
      <w:t xml:space="preserve">of </w:t>
    </w:r>
    <w:r w:rsidRPr="00FC2A74">
      <w:rPr>
        <w:rFonts w:asciiTheme="minorHAnsi" w:hAnsiTheme="minorHAnsi" w:cstheme="minorHAnsi"/>
        <w:caps/>
        <w:color w:val="0070C0"/>
        <w:kern w:val="18"/>
        <w:sz w:val="18"/>
        <w:szCs w:val="18"/>
        <w:lang w:val="en-US"/>
      </w:rPr>
      <w:fldChar w:fldCharType="begin"/>
    </w:r>
    <w:r w:rsidRPr="00FC2A74">
      <w:rPr>
        <w:rFonts w:asciiTheme="minorHAnsi" w:hAnsiTheme="minorHAnsi" w:cstheme="minorHAnsi"/>
        <w:caps/>
        <w:color w:val="0070C0"/>
        <w:kern w:val="18"/>
        <w:sz w:val="18"/>
        <w:szCs w:val="18"/>
        <w:lang w:val="en-US"/>
      </w:rPr>
      <w:instrText xml:space="preserve"> NUMPAGES \*Arabic </w:instrText>
    </w:r>
    <w:r w:rsidRPr="00FC2A74">
      <w:rPr>
        <w:rFonts w:asciiTheme="minorHAnsi" w:hAnsiTheme="minorHAnsi" w:cstheme="minorHAnsi"/>
        <w:caps/>
        <w:color w:val="0070C0"/>
        <w:kern w:val="18"/>
        <w:sz w:val="18"/>
        <w:szCs w:val="18"/>
        <w:lang w:val="en-US"/>
      </w:rPr>
      <w:fldChar w:fldCharType="separate"/>
    </w:r>
    <w:r w:rsidRPr="00FC2A74">
      <w:rPr>
        <w:rFonts w:asciiTheme="minorHAnsi" w:hAnsiTheme="minorHAnsi" w:cstheme="minorHAnsi"/>
        <w:caps/>
        <w:color w:val="0070C0"/>
        <w:kern w:val="18"/>
        <w:sz w:val="18"/>
        <w:szCs w:val="18"/>
        <w:lang w:val="en-US"/>
      </w:rPr>
      <w:t>4</w:t>
    </w:r>
    <w:r w:rsidRPr="00FC2A74">
      <w:rPr>
        <w:rFonts w:asciiTheme="minorHAnsi" w:hAnsiTheme="minorHAnsi" w:cstheme="minorHAnsi"/>
        <w:caps/>
        <w:color w:val="0070C0"/>
        <w:kern w:val="18"/>
        <w:sz w:val="18"/>
        <w:szCs w:val="18"/>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C6773" w14:textId="77777777" w:rsidR="00FC2A74" w:rsidRDefault="00FC2A74" w:rsidP="00FC2A74">
      <w:pPr>
        <w:spacing w:after="0" w:line="240" w:lineRule="auto"/>
      </w:pPr>
      <w:r>
        <w:separator/>
      </w:r>
    </w:p>
  </w:footnote>
  <w:footnote w:type="continuationSeparator" w:id="0">
    <w:p w14:paraId="7A13B60A" w14:textId="77777777" w:rsidR="00FC2A74" w:rsidRDefault="00FC2A74" w:rsidP="00FC2A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385B8B"/>
    <w:multiLevelType w:val="hybridMultilevel"/>
    <w:tmpl w:val="5AE212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28D5B8E"/>
    <w:multiLevelType w:val="hybridMultilevel"/>
    <w:tmpl w:val="5BA8C33C"/>
    <w:lvl w:ilvl="0" w:tplc="7856E876">
      <w:start w:val="1"/>
      <w:numFmt w:val="bullet"/>
      <w:lvlText w:val="•"/>
      <w:lvlJc w:val="left"/>
      <w:pPr>
        <w:tabs>
          <w:tab w:val="num" w:pos="720"/>
        </w:tabs>
        <w:ind w:left="720" w:hanging="360"/>
      </w:pPr>
      <w:rPr>
        <w:rFonts w:ascii="Arial" w:hAnsi="Arial" w:hint="default"/>
      </w:rPr>
    </w:lvl>
    <w:lvl w:ilvl="1" w:tplc="BD3AF766">
      <w:numFmt w:val="bullet"/>
      <w:lvlText w:val="•"/>
      <w:lvlJc w:val="left"/>
      <w:pPr>
        <w:tabs>
          <w:tab w:val="num" w:pos="1440"/>
        </w:tabs>
        <w:ind w:left="1440" w:hanging="360"/>
      </w:pPr>
      <w:rPr>
        <w:rFonts w:ascii="Arial" w:hAnsi="Arial" w:hint="default"/>
      </w:rPr>
    </w:lvl>
    <w:lvl w:ilvl="2" w:tplc="C346F9EE">
      <w:numFmt w:val="bullet"/>
      <w:lvlText w:val="•"/>
      <w:lvlJc w:val="left"/>
      <w:pPr>
        <w:tabs>
          <w:tab w:val="num" w:pos="2160"/>
        </w:tabs>
        <w:ind w:left="2160" w:hanging="360"/>
      </w:pPr>
      <w:rPr>
        <w:rFonts w:ascii="Arial" w:hAnsi="Arial" w:hint="default"/>
      </w:rPr>
    </w:lvl>
    <w:lvl w:ilvl="3" w:tplc="B86A5DB0" w:tentative="1">
      <w:start w:val="1"/>
      <w:numFmt w:val="bullet"/>
      <w:lvlText w:val="•"/>
      <w:lvlJc w:val="left"/>
      <w:pPr>
        <w:tabs>
          <w:tab w:val="num" w:pos="2880"/>
        </w:tabs>
        <w:ind w:left="2880" w:hanging="360"/>
      </w:pPr>
      <w:rPr>
        <w:rFonts w:ascii="Arial" w:hAnsi="Arial" w:hint="default"/>
      </w:rPr>
    </w:lvl>
    <w:lvl w:ilvl="4" w:tplc="99CA7F4E" w:tentative="1">
      <w:start w:val="1"/>
      <w:numFmt w:val="bullet"/>
      <w:lvlText w:val="•"/>
      <w:lvlJc w:val="left"/>
      <w:pPr>
        <w:tabs>
          <w:tab w:val="num" w:pos="3600"/>
        </w:tabs>
        <w:ind w:left="3600" w:hanging="360"/>
      </w:pPr>
      <w:rPr>
        <w:rFonts w:ascii="Arial" w:hAnsi="Arial" w:hint="default"/>
      </w:rPr>
    </w:lvl>
    <w:lvl w:ilvl="5" w:tplc="43C06A70" w:tentative="1">
      <w:start w:val="1"/>
      <w:numFmt w:val="bullet"/>
      <w:lvlText w:val="•"/>
      <w:lvlJc w:val="left"/>
      <w:pPr>
        <w:tabs>
          <w:tab w:val="num" w:pos="4320"/>
        </w:tabs>
        <w:ind w:left="4320" w:hanging="360"/>
      </w:pPr>
      <w:rPr>
        <w:rFonts w:ascii="Arial" w:hAnsi="Arial" w:hint="default"/>
      </w:rPr>
    </w:lvl>
    <w:lvl w:ilvl="6" w:tplc="D7567850" w:tentative="1">
      <w:start w:val="1"/>
      <w:numFmt w:val="bullet"/>
      <w:lvlText w:val="•"/>
      <w:lvlJc w:val="left"/>
      <w:pPr>
        <w:tabs>
          <w:tab w:val="num" w:pos="5040"/>
        </w:tabs>
        <w:ind w:left="5040" w:hanging="360"/>
      </w:pPr>
      <w:rPr>
        <w:rFonts w:ascii="Arial" w:hAnsi="Arial" w:hint="default"/>
      </w:rPr>
    </w:lvl>
    <w:lvl w:ilvl="7" w:tplc="22100906" w:tentative="1">
      <w:start w:val="1"/>
      <w:numFmt w:val="bullet"/>
      <w:lvlText w:val="•"/>
      <w:lvlJc w:val="left"/>
      <w:pPr>
        <w:tabs>
          <w:tab w:val="num" w:pos="5760"/>
        </w:tabs>
        <w:ind w:left="5760" w:hanging="360"/>
      </w:pPr>
      <w:rPr>
        <w:rFonts w:ascii="Arial" w:hAnsi="Arial" w:hint="default"/>
      </w:rPr>
    </w:lvl>
    <w:lvl w:ilvl="8" w:tplc="6FA0ED2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B784E78"/>
    <w:multiLevelType w:val="hybridMultilevel"/>
    <w:tmpl w:val="36F012B4"/>
    <w:lvl w:ilvl="0" w:tplc="F30E25A0">
      <w:start w:val="1"/>
      <w:numFmt w:val="bullet"/>
      <w:lvlText w:val="•"/>
      <w:lvlJc w:val="left"/>
      <w:pPr>
        <w:tabs>
          <w:tab w:val="num" w:pos="720"/>
        </w:tabs>
        <w:ind w:left="720" w:hanging="360"/>
      </w:pPr>
      <w:rPr>
        <w:rFonts w:ascii="Arial" w:hAnsi="Arial" w:hint="default"/>
      </w:rPr>
    </w:lvl>
    <w:lvl w:ilvl="1" w:tplc="B49A234E" w:tentative="1">
      <w:start w:val="1"/>
      <w:numFmt w:val="bullet"/>
      <w:lvlText w:val="•"/>
      <w:lvlJc w:val="left"/>
      <w:pPr>
        <w:tabs>
          <w:tab w:val="num" w:pos="1440"/>
        </w:tabs>
        <w:ind w:left="1440" w:hanging="360"/>
      </w:pPr>
      <w:rPr>
        <w:rFonts w:ascii="Arial" w:hAnsi="Arial" w:hint="default"/>
      </w:rPr>
    </w:lvl>
    <w:lvl w:ilvl="2" w:tplc="EAA8DB0A">
      <w:numFmt w:val="bullet"/>
      <w:lvlText w:val="•"/>
      <w:lvlJc w:val="left"/>
      <w:pPr>
        <w:tabs>
          <w:tab w:val="num" w:pos="2160"/>
        </w:tabs>
        <w:ind w:left="2160" w:hanging="360"/>
      </w:pPr>
      <w:rPr>
        <w:rFonts w:ascii="Arial" w:hAnsi="Arial" w:hint="default"/>
      </w:rPr>
    </w:lvl>
    <w:lvl w:ilvl="3" w:tplc="B5B69B32">
      <w:numFmt w:val="bullet"/>
      <w:lvlText w:val="•"/>
      <w:lvlJc w:val="left"/>
      <w:pPr>
        <w:tabs>
          <w:tab w:val="num" w:pos="2880"/>
        </w:tabs>
        <w:ind w:left="2880" w:hanging="360"/>
      </w:pPr>
      <w:rPr>
        <w:rFonts w:ascii="Arial" w:hAnsi="Arial" w:hint="default"/>
      </w:rPr>
    </w:lvl>
    <w:lvl w:ilvl="4" w:tplc="46D6E37E" w:tentative="1">
      <w:start w:val="1"/>
      <w:numFmt w:val="bullet"/>
      <w:lvlText w:val="•"/>
      <w:lvlJc w:val="left"/>
      <w:pPr>
        <w:tabs>
          <w:tab w:val="num" w:pos="3600"/>
        </w:tabs>
        <w:ind w:left="3600" w:hanging="360"/>
      </w:pPr>
      <w:rPr>
        <w:rFonts w:ascii="Arial" w:hAnsi="Arial" w:hint="default"/>
      </w:rPr>
    </w:lvl>
    <w:lvl w:ilvl="5" w:tplc="07E4F76C" w:tentative="1">
      <w:start w:val="1"/>
      <w:numFmt w:val="bullet"/>
      <w:lvlText w:val="•"/>
      <w:lvlJc w:val="left"/>
      <w:pPr>
        <w:tabs>
          <w:tab w:val="num" w:pos="4320"/>
        </w:tabs>
        <w:ind w:left="4320" w:hanging="360"/>
      </w:pPr>
      <w:rPr>
        <w:rFonts w:ascii="Arial" w:hAnsi="Arial" w:hint="default"/>
      </w:rPr>
    </w:lvl>
    <w:lvl w:ilvl="6" w:tplc="98266AF8" w:tentative="1">
      <w:start w:val="1"/>
      <w:numFmt w:val="bullet"/>
      <w:lvlText w:val="•"/>
      <w:lvlJc w:val="left"/>
      <w:pPr>
        <w:tabs>
          <w:tab w:val="num" w:pos="5040"/>
        </w:tabs>
        <w:ind w:left="5040" w:hanging="360"/>
      </w:pPr>
      <w:rPr>
        <w:rFonts w:ascii="Arial" w:hAnsi="Arial" w:hint="default"/>
      </w:rPr>
    </w:lvl>
    <w:lvl w:ilvl="7" w:tplc="16CCF1AA" w:tentative="1">
      <w:start w:val="1"/>
      <w:numFmt w:val="bullet"/>
      <w:lvlText w:val="•"/>
      <w:lvlJc w:val="left"/>
      <w:pPr>
        <w:tabs>
          <w:tab w:val="num" w:pos="5760"/>
        </w:tabs>
        <w:ind w:left="5760" w:hanging="360"/>
      </w:pPr>
      <w:rPr>
        <w:rFonts w:ascii="Arial" w:hAnsi="Arial" w:hint="default"/>
      </w:rPr>
    </w:lvl>
    <w:lvl w:ilvl="8" w:tplc="BA32976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DAF19F1"/>
    <w:multiLevelType w:val="hybridMultilevel"/>
    <w:tmpl w:val="D0E2FD96"/>
    <w:lvl w:ilvl="0" w:tplc="06041572">
      <w:start w:val="1"/>
      <w:numFmt w:val="bullet"/>
      <w:lvlText w:val="•"/>
      <w:lvlJc w:val="left"/>
      <w:pPr>
        <w:tabs>
          <w:tab w:val="num" w:pos="720"/>
        </w:tabs>
        <w:ind w:left="720" w:hanging="360"/>
      </w:pPr>
      <w:rPr>
        <w:rFonts w:ascii="Arial" w:hAnsi="Arial" w:hint="default"/>
      </w:rPr>
    </w:lvl>
    <w:lvl w:ilvl="1" w:tplc="19949FA4" w:tentative="1">
      <w:start w:val="1"/>
      <w:numFmt w:val="bullet"/>
      <w:lvlText w:val="•"/>
      <w:lvlJc w:val="left"/>
      <w:pPr>
        <w:tabs>
          <w:tab w:val="num" w:pos="1440"/>
        </w:tabs>
        <w:ind w:left="1440" w:hanging="360"/>
      </w:pPr>
      <w:rPr>
        <w:rFonts w:ascii="Arial" w:hAnsi="Arial" w:hint="default"/>
      </w:rPr>
    </w:lvl>
    <w:lvl w:ilvl="2" w:tplc="D2D48CE4">
      <w:numFmt w:val="bullet"/>
      <w:lvlText w:val="•"/>
      <w:lvlJc w:val="left"/>
      <w:pPr>
        <w:tabs>
          <w:tab w:val="num" w:pos="2160"/>
        </w:tabs>
        <w:ind w:left="2160" w:hanging="360"/>
      </w:pPr>
      <w:rPr>
        <w:rFonts w:ascii="Arial" w:hAnsi="Arial" w:hint="default"/>
      </w:rPr>
    </w:lvl>
    <w:lvl w:ilvl="3" w:tplc="A59A7796" w:tentative="1">
      <w:start w:val="1"/>
      <w:numFmt w:val="bullet"/>
      <w:lvlText w:val="•"/>
      <w:lvlJc w:val="left"/>
      <w:pPr>
        <w:tabs>
          <w:tab w:val="num" w:pos="2880"/>
        </w:tabs>
        <w:ind w:left="2880" w:hanging="360"/>
      </w:pPr>
      <w:rPr>
        <w:rFonts w:ascii="Arial" w:hAnsi="Arial" w:hint="default"/>
      </w:rPr>
    </w:lvl>
    <w:lvl w:ilvl="4" w:tplc="4AC6FC56" w:tentative="1">
      <w:start w:val="1"/>
      <w:numFmt w:val="bullet"/>
      <w:lvlText w:val="•"/>
      <w:lvlJc w:val="left"/>
      <w:pPr>
        <w:tabs>
          <w:tab w:val="num" w:pos="3600"/>
        </w:tabs>
        <w:ind w:left="3600" w:hanging="360"/>
      </w:pPr>
      <w:rPr>
        <w:rFonts w:ascii="Arial" w:hAnsi="Arial" w:hint="default"/>
      </w:rPr>
    </w:lvl>
    <w:lvl w:ilvl="5" w:tplc="FF1EAC02" w:tentative="1">
      <w:start w:val="1"/>
      <w:numFmt w:val="bullet"/>
      <w:lvlText w:val="•"/>
      <w:lvlJc w:val="left"/>
      <w:pPr>
        <w:tabs>
          <w:tab w:val="num" w:pos="4320"/>
        </w:tabs>
        <w:ind w:left="4320" w:hanging="360"/>
      </w:pPr>
      <w:rPr>
        <w:rFonts w:ascii="Arial" w:hAnsi="Arial" w:hint="default"/>
      </w:rPr>
    </w:lvl>
    <w:lvl w:ilvl="6" w:tplc="3372E9AA" w:tentative="1">
      <w:start w:val="1"/>
      <w:numFmt w:val="bullet"/>
      <w:lvlText w:val="•"/>
      <w:lvlJc w:val="left"/>
      <w:pPr>
        <w:tabs>
          <w:tab w:val="num" w:pos="5040"/>
        </w:tabs>
        <w:ind w:left="5040" w:hanging="360"/>
      </w:pPr>
      <w:rPr>
        <w:rFonts w:ascii="Arial" w:hAnsi="Arial" w:hint="default"/>
      </w:rPr>
    </w:lvl>
    <w:lvl w:ilvl="7" w:tplc="C8F87B66" w:tentative="1">
      <w:start w:val="1"/>
      <w:numFmt w:val="bullet"/>
      <w:lvlText w:val="•"/>
      <w:lvlJc w:val="left"/>
      <w:pPr>
        <w:tabs>
          <w:tab w:val="num" w:pos="5760"/>
        </w:tabs>
        <w:ind w:left="5760" w:hanging="360"/>
      </w:pPr>
      <w:rPr>
        <w:rFonts w:ascii="Arial" w:hAnsi="Arial" w:hint="default"/>
      </w:rPr>
    </w:lvl>
    <w:lvl w:ilvl="8" w:tplc="7D1CFC3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5B60D0D"/>
    <w:multiLevelType w:val="hybridMultilevel"/>
    <w:tmpl w:val="BB60D726"/>
    <w:lvl w:ilvl="0" w:tplc="7760345A">
      <w:start w:val="1"/>
      <w:numFmt w:val="bullet"/>
      <w:lvlText w:val="•"/>
      <w:lvlJc w:val="left"/>
      <w:pPr>
        <w:tabs>
          <w:tab w:val="num" w:pos="720"/>
        </w:tabs>
        <w:ind w:left="720" w:hanging="360"/>
      </w:pPr>
      <w:rPr>
        <w:rFonts w:ascii="Arial" w:hAnsi="Arial" w:hint="default"/>
      </w:rPr>
    </w:lvl>
    <w:lvl w:ilvl="1" w:tplc="B7F48D96" w:tentative="1">
      <w:start w:val="1"/>
      <w:numFmt w:val="bullet"/>
      <w:lvlText w:val="•"/>
      <w:lvlJc w:val="left"/>
      <w:pPr>
        <w:tabs>
          <w:tab w:val="num" w:pos="1440"/>
        </w:tabs>
        <w:ind w:left="1440" w:hanging="360"/>
      </w:pPr>
      <w:rPr>
        <w:rFonts w:ascii="Arial" w:hAnsi="Arial" w:hint="default"/>
      </w:rPr>
    </w:lvl>
    <w:lvl w:ilvl="2" w:tplc="559242A8" w:tentative="1">
      <w:start w:val="1"/>
      <w:numFmt w:val="bullet"/>
      <w:lvlText w:val="•"/>
      <w:lvlJc w:val="left"/>
      <w:pPr>
        <w:tabs>
          <w:tab w:val="num" w:pos="2160"/>
        </w:tabs>
        <w:ind w:left="2160" w:hanging="360"/>
      </w:pPr>
      <w:rPr>
        <w:rFonts w:ascii="Arial" w:hAnsi="Arial" w:hint="default"/>
      </w:rPr>
    </w:lvl>
    <w:lvl w:ilvl="3" w:tplc="76785C60" w:tentative="1">
      <w:start w:val="1"/>
      <w:numFmt w:val="bullet"/>
      <w:lvlText w:val="•"/>
      <w:lvlJc w:val="left"/>
      <w:pPr>
        <w:tabs>
          <w:tab w:val="num" w:pos="2880"/>
        </w:tabs>
        <w:ind w:left="2880" w:hanging="360"/>
      </w:pPr>
      <w:rPr>
        <w:rFonts w:ascii="Arial" w:hAnsi="Arial" w:hint="default"/>
      </w:rPr>
    </w:lvl>
    <w:lvl w:ilvl="4" w:tplc="33C6C27C" w:tentative="1">
      <w:start w:val="1"/>
      <w:numFmt w:val="bullet"/>
      <w:lvlText w:val="•"/>
      <w:lvlJc w:val="left"/>
      <w:pPr>
        <w:tabs>
          <w:tab w:val="num" w:pos="3600"/>
        </w:tabs>
        <w:ind w:left="3600" w:hanging="360"/>
      </w:pPr>
      <w:rPr>
        <w:rFonts w:ascii="Arial" w:hAnsi="Arial" w:hint="default"/>
      </w:rPr>
    </w:lvl>
    <w:lvl w:ilvl="5" w:tplc="7FBA6A70" w:tentative="1">
      <w:start w:val="1"/>
      <w:numFmt w:val="bullet"/>
      <w:lvlText w:val="•"/>
      <w:lvlJc w:val="left"/>
      <w:pPr>
        <w:tabs>
          <w:tab w:val="num" w:pos="4320"/>
        </w:tabs>
        <w:ind w:left="4320" w:hanging="360"/>
      </w:pPr>
      <w:rPr>
        <w:rFonts w:ascii="Arial" w:hAnsi="Arial" w:hint="default"/>
      </w:rPr>
    </w:lvl>
    <w:lvl w:ilvl="6" w:tplc="AF3CFEBA" w:tentative="1">
      <w:start w:val="1"/>
      <w:numFmt w:val="bullet"/>
      <w:lvlText w:val="•"/>
      <w:lvlJc w:val="left"/>
      <w:pPr>
        <w:tabs>
          <w:tab w:val="num" w:pos="5040"/>
        </w:tabs>
        <w:ind w:left="5040" w:hanging="360"/>
      </w:pPr>
      <w:rPr>
        <w:rFonts w:ascii="Arial" w:hAnsi="Arial" w:hint="default"/>
      </w:rPr>
    </w:lvl>
    <w:lvl w:ilvl="7" w:tplc="DD4C4166" w:tentative="1">
      <w:start w:val="1"/>
      <w:numFmt w:val="bullet"/>
      <w:lvlText w:val="•"/>
      <w:lvlJc w:val="left"/>
      <w:pPr>
        <w:tabs>
          <w:tab w:val="num" w:pos="5760"/>
        </w:tabs>
        <w:ind w:left="5760" w:hanging="360"/>
      </w:pPr>
      <w:rPr>
        <w:rFonts w:ascii="Arial" w:hAnsi="Arial" w:hint="default"/>
      </w:rPr>
    </w:lvl>
    <w:lvl w:ilvl="8" w:tplc="60BEDC6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6963E1C"/>
    <w:multiLevelType w:val="hybridMultilevel"/>
    <w:tmpl w:val="CBEE0CA2"/>
    <w:lvl w:ilvl="0" w:tplc="2280EBB0">
      <w:start w:val="1"/>
      <w:numFmt w:val="bullet"/>
      <w:lvlText w:val="•"/>
      <w:lvlJc w:val="left"/>
      <w:pPr>
        <w:tabs>
          <w:tab w:val="num" w:pos="720"/>
        </w:tabs>
        <w:ind w:left="720" w:hanging="360"/>
      </w:pPr>
      <w:rPr>
        <w:rFonts w:ascii="Arial" w:hAnsi="Arial" w:hint="default"/>
      </w:rPr>
    </w:lvl>
    <w:lvl w:ilvl="1" w:tplc="3E349A04" w:tentative="1">
      <w:start w:val="1"/>
      <w:numFmt w:val="bullet"/>
      <w:lvlText w:val="•"/>
      <w:lvlJc w:val="left"/>
      <w:pPr>
        <w:tabs>
          <w:tab w:val="num" w:pos="1440"/>
        </w:tabs>
        <w:ind w:left="1440" w:hanging="360"/>
      </w:pPr>
      <w:rPr>
        <w:rFonts w:ascii="Arial" w:hAnsi="Arial" w:hint="default"/>
      </w:rPr>
    </w:lvl>
    <w:lvl w:ilvl="2" w:tplc="03DC8422">
      <w:numFmt w:val="bullet"/>
      <w:lvlText w:val="•"/>
      <w:lvlJc w:val="left"/>
      <w:pPr>
        <w:tabs>
          <w:tab w:val="num" w:pos="2160"/>
        </w:tabs>
        <w:ind w:left="2160" w:hanging="360"/>
      </w:pPr>
      <w:rPr>
        <w:rFonts w:ascii="Arial" w:hAnsi="Arial" w:hint="default"/>
      </w:rPr>
    </w:lvl>
    <w:lvl w:ilvl="3" w:tplc="7F821950" w:tentative="1">
      <w:start w:val="1"/>
      <w:numFmt w:val="bullet"/>
      <w:lvlText w:val="•"/>
      <w:lvlJc w:val="left"/>
      <w:pPr>
        <w:tabs>
          <w:tab w:val="num" w:pos="2880"/>
        </w:tabs>
        <w:ind w:left="2880" w:hanging="360"/>
      </w:pPr>
      <w:rPr>
        <w:rFonts w:ascii="Arial" w:hAnsi="Arial" w:hint="default"/>
      </w:rPr>
    </w:lvl>
    <w:lvl w:ilvl="4" w:tplc="64BC0772" w:tentative="1">
      <w:start w:val="1"/>
      <w:numFmt w:val="bullet"/>
      <w:lvlText w:val="•"/>
      <w:lvlJc w:val="left"/>
      <w:pPr>
        <w:tabs>
          <w:tab w:val="num" w:pos="3600"/>
        </w:tabs>
        <w:ind w:left="3600" w:hanging="360"/>
      </w:pPr>
      <w:rPr>
        <w:rFonts w:ascii="Arial" w:hAnsi="Arial" w:hint="default"/>
      </w:rPr>
    </w:lvl>
    <w:lvl w:ilvl="5" w:tplc="029C78B4" w:tentative="1">
      <w:start w:val="1"/>
      <w:numFmt w:val="bullet"/>
      <w:lvlText w:val="•"/>
      <w:lvlJc w:val="left"/>
      <w:pPr>
        <w:tabs>
          <w:tab w:val="num" w:pos="4320"/>
        </w:tabs>
        <w:ind w:left="4320" w:hanging="360"/>
      </w:pPr>
      <w:rPr>
        <w:rFonts w:ascii="Arial" w:hAnsi="Arial" w:hint="default"/>
      </w:rPr>
    </w:lvl>
    <w:lvl w:ilvl="6" w:tplc="FCF4EA1A" w:tentative="1">
      <w:start w:val="1"/>
      <w:numFmt w:val="bullet"/>
      <w:lvlText w:val="•"/>
      <w:lvlJc w:val="left"/>
      <w:pPr>
        <w:tabs>
          <w:tab w:val="num" w:pos="5040"/>
        </w:tabs>
        <w:ind w:left="5040" w:hanging="360"/>
      </w:pPr>
      <w:rPr>
        <w:rFonts w:ascii="Arial" w:hAnsi="Arial" w:hint="default"/>
      </w:rPr>
    </w:lvl>
    <w:lvl w:ilvl="7" w:tplc="91E6BF56" w:tentative="1">
      <w:start w:val="1"/>
      <w:numFmt w:val="bullet"/>
      <w:lvlText w:val="•"/>
      <w:lvlJc w:val="left"/>
      <w:pPr>
        <w:tabs>
          <w:tab w:val="num" w:pos="5760"/>
        </w:tabs>
        <w:ind w:left="5760" w:hanging="360"/>
      </w:pPr>
      <w:rPr>
        <w:rFonts w:ascii="Arial" w:hAnsi="Arial" w:hint="default"/>
      </w:rPr>
    </w:lvl>
    <w:lvl w:ilvl="8" w:tplc="E3E8C82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7692EC2"/>
    <w:multiLevelType w:val="hybridMultilevel"/>
    <w:tmpl w:val="EC6436A8"/>
    <w:lvl w:ilvl="0" w:tplc="5418863A">
      <w:start w:val="1"/>
      <w:numFmt w:val="bullet"/>
      <w:lvlText w:val="•"/>
      <w:lvlJc w:val="left"/>
      <w:pPr>
        <w:tabs>
          <w:tab w:val="num" w:pos="720"/>
        </w:tabs>
        <w:ind w:left="720" w:hanging="360"/>
      </w:pPr>
      <w:rPr>
        <w:rFonts w:ascii="Arial" w:hAnsi="Arial" w:hint="default"/>
      </w:rPr>
    </w:lvl>
    <w:lvl w:ilvl="1" w:tplc="FDAAEC52" w:tentative="1">
      <w:start w:val="1"/>
      <w:numFmt w:val="bullet"/>
      <w:lvlText w:val="•"/>
      <w:lvlJc w:val="left"/>
      <w:pPr>
        <w:tabs>
          <w:tab w:val="num" w:pos="1440"/>
        </w:tabs>
        <w:ind w:left="1440" w:hanging="360"/>
      </w:pPr>
      <w:rPr>
        <w:rFonts w:ascii="Arial" w:hAnsi="Arial" w:hint="default"/>
      </w:rPr>
    </w:lvl>
    <w:lvl w:ilvl="2" w:tplc="B2A4ADE8" w:tentative="1">
      <w:start w:val="1"/>
      <w:numFmt w:val="bullet"/>
      <w:lvlText w:val="•"/>
      <w:lvlJc w:val="left"/>
      <w:pPr>
        <w:tabs>
          <w:tab w:val="num" w:pos="2160"/>
        </w:tabs>
        <w:ind w:left="2160" w:hanging="360"/>
      </w:pPr>
      <w:rPr>
        <w:rFonts w:ascii="Arial" w:hAnsi="Arial" w:hint="default"/>
      </w:rPr>
    </w:lvl>
    <w:lvl w:ilvl="3" w:tplc="53D6B25C" w:tentative="1">
      <w:start w:val="1"/>
      <w:numFmt w:val="bullet"/>
      <w:lvlText w:val="•"/>
      <w:lvlJc w:val="left"/>
      <w:pPr>
        <w:tabs>
          <w:tab w:val="num" w:pos="2880"/>
        </w:tabs>
        <w:ind w:left="2880" w:hanging="360"/>
      </w:pPr>
      <w:rPr>
        <w:rFonts w:ascii="Arial" w:hAnsi="Arial" w:hint="default"/>
      </w:rPr>
    </w:lvl>
    <w:lvl w:ilvl="4" w:tplc="EEDE771A" w:tentative="1">
      <w:start w:val="1"/>
      <w:numFmt w:val="bullet"/>
      <w:lvlText w:val="•"/>
      <w:lvlJc w:val="left"/>
      <w:pPr>
        <w:tabs>
          <w:tab w:val="num" w:pos="3600"/>
        </w:tabs>
        <w:ind w:left="3600" w:hanging="360"/>
      </w:pPr>
      <w:rPr>
        <w:rFonts w:ascii="Arial" w:hAnsi="Arial" w:hint="default"/>
      </w:rPr>
    </w:lvl>
    <w:lvl w:ilvl="5" w:tplc="A5A42580" w:tentative="1">
      <w:start w:val="1"/>
      <w:numFmt w:val="bullet"/>
      <w:lvlText w:val="•"/>
      <w:lvlJc w:val="left"/>
      <w:pPr>
        <w:tabs>
          <w:tab w:val="num" w:pos="4320"/>
        </w:tabs>
        <w:ind w:left="4320" w:hanging="360"/>
      </w:pPr>
      <w:rPr>
        <w:rFonts w:ascii="Arial" w:hAnsi="Arial" w:hint="default"/>
      </w:rPr>
    </w:lvl>
    <w:lvl w:ilvl="6" w:tplc="E77E66B6" w:tentative="1">
      <w:start w:val="1"/>
      <w:numFmt w:val="bullet"/>
      <w:lvlText w:val="•"/>
      <w:lvlJc w:val="left"/>
      <w:pPr>
        <w:tabs>
          <w:tab w:val="num" w:pos="5040"/>
        </w:tabs>
        <w:ind w:left="5040" w:hanging="360"/>
      </w:pPr>
      <w:rPr>
        <w:rFonts w:ascii="Arial" w:hAnsi="Arial" w:hint="default"/>
      </w:rPr>
    </w:lvl>
    <w:lvl w:ilvl="7" w:tplc="B74C8638" w:tentative="1">
      <w:start w:val="1"/>
      <w:numFmt w:val="bullet"/>
      <w:lvlText w:val="•"/>
      <w:lvlJc w:val="left"/>
      <w:pPr>
        <w:tabs>
          <w:tab w:val="num" w:pos="5760"/>
        </w:tabs>
        <w:ind w:left="5760" w:hanging="360"/>
      </w:pPr>
      <w:rPr>
        <w:rFonts w:ascii="Arial" w:hAnsi="Arial" w:hint="default"/>
      </w:rPr>
    </w:lvl>
    <w:lvl w:ilvl="8" w:tplc="73E6B00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59E345E"/>
    <w:multiLevelType w:val="hybridMultilevel"/>
    <w:tmpl w:val="86FE5B5E"/>
    <w:lvl w:ilvl="0" w:tplc="7BD050A6">
      <w:start w:val="1"/>
      <w:numFmt w:val="bullet"/>
      <w:lvlText w:val="•"/>
      <w:lvlJc w:val="left"/>
      <w:pPr>
        <w:tabs>
          <w:tab w:val="num" w:pos="720"/>
        </w:tabs>
        <w:ind w:left="720" w:hanging="360"/>
      </w:pPr>
      <w:rPr>
        <w:rFonts w:ascii="Arial" w:hAnsi="Arial" w:hint="default"/>
      </w:rPr>
    </w:lvl>
    <w:lvl w:ilvl="1" w:tplc="546E9044" w:tentative="1">
      <w:start w:val="1"/>
      <w:numFmt w:val="bullet"/>
      <w:lvlText w:val="•"/>
      <w:lvlJc w:val="left"/>
      <w:pPr>
        <w:tabs>
          <w:tab w:val="num" w:pos="1440"/>
        </w:tabs>
        <w:ind w:left="1440" w:hanging="360"/>
      </w:pPr>
      <w:rPr>
        <w:rFonts w:ascii="Arial" w:hAnsi="Arial" w:hint="default"/>
      </w:rPr>
    </w:lvl>
    <w:lvl w:ilvl="2" w:tplc="F9908D98">
      <w:numFmt w:val="bullet"/>
      <w:lvlText w:val="•"/>
      <w:lvlJc w:val="left"/>
      <w:pPr>
        <w:tabs>
          <w:tab w:val="num" w:pos="2160"/>
        </w:tabs>
        <w:ind w:left="2160" w:hanging="360"/>
      </w:pPr>
      <w:rPr>
        <w:rFonts w:ascii="Arial" w:hAnsi="Arial" w:hint="default"/>
      </w:rPr>
    </w:lvl>
    <w:lvl w:ilvl="3" w:tplc="8AA41FF0" w:tentative="1">
      <w:start w:val="1"/>
      <w:numFmt w:val="bullet"/>
      <w:lvlText w:val="•"/>
      <w:lvlJc w:val="left"/>
      <w:pPr>
        <w:tabs>
          <w:tab w:val="num" w:pos="2880"/>
        </w:tabs>
        <w:ind w:left="2880" w:hanging="360"/>
      </w:pPr>
      <w:rPr>
        <w:rFonts w:ascii="Arial" w:hAnsi="Arial" w:hint="default"/>
      </w:rPr>
    </w:lvl>
    <w:lvl w:ilvl="4" w:tplc="84FC413C" w:tentative="1">
      <w:start w:val="1"/>
      <w:numFmt w:val="bullet"/>
      <w:lvlText w:val="•"/>
      <w:lvlJc w:val="left"/>
      <w:pPr>
        <w:tabs>
          <w:tab w:val="num" w:pos="3600"/>
        </w:tabs>
        <w:ind w:left="3600" w:hanging="360"/>
      </w:pPr>
      <w:rPr>
        <w:rFonts w:ascii="Arial" w:hAnsi="Arial" w:hint="default"/>
      </w:rPr>
    </w:lvl>
    <w:lvl w:ilvl="5" w:tplc="0FE06C20" w:tentative="1">
      <w:start w:val="1"/>
      <w:numFmt w:val="bullet"/>
      <w:lvlText w:val="•"/>
      <w:lvlJc w:val="left"/>
      <w:pPr>
        <w:tabs>
          <w:tab w:val="num" w:pos="4320"/>
        </w:tabs>
        <w:ind w:left="4320" w:hanging="360"/>
      </w:pPr>
      <w:rPr>
        <w:rFonts w:ascii="Arial" w:hAnsi="Arial" w:hint="default"/>
      </w:rPr>
    </w:lvl>
    <w:lvl w:ilvl="6" w:tplc="9D707200" w:tentative="1">
      <w:start w:val="1"/>
      <w:numFmt w:val="bullet"/>
      <w:lvlText w:val="•"/>
      <w:lvlJc w:val="left"/>
      <w:pPr>
        <w:tabs>
          <w:tab w:val="num" w:pos="5040"/>
        </w:tabs>
        <w:ind w:left="5040" w:hanging="360"/>
      </w:pPr>
      <w:rPr>
        <w:rFonts w:ascii="Arial" w:hAnsi="Arial" w:hint="default"/>
      </w:rPr>
    </w:lvl>
    <w:lvl w:ilvl="7" w:tplc="DDD85F6A" w:tentative="1">
      <w:start w:val="1"/>
      <w:numFmt w:val="bullet"/>
      <w:lvlText w:val="•"/>
      <w:lvlJc w:val="left"/>
      <w:pPr>
        <w:tabs>
          <w:tab w:val="num" w:pos="5760"/>
        </w:tabs>
        <w:ind w:left="5760" w:hanging="360"/>
      </w:pPr>
      <w:rPr>
        <w:rFonts w:ascii="Arial" w:hAnsi="Arial" w:hint="default"/>
      </w:rPr>
    </w:lvl>
    <w:lvl w:ilvl="8" w:tplc="CD8AD5E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6B433E42"/>
    <w:multiLevelType w:val="hybridMultilevel"/>
    <w:tmpl w:val="78FCF914"/>
    <w:lvl w:ilvl="0" w:tplc="3A7C06DE">
      <w:start w:val="1"/>
      <w:numFmt w:val="bullet"/>
      <w:lvlText w:val="•"/>
      <w:lvlJc w:val="left"/>
      <w:pPr>
        <w:tabs>
          <w:tab w:val="num" w:pos="720"/>
        </w:tabs>
        <w:ind w:left="720" w:hanging="360"/>
      </w:pPr>
      <w:rPr>
        <w:rFonts w:ascii="Arial" w:hAnsi="Arial" w:hint="default"/>
      </w:rPr>
    </w:lvl>
    <w:lvl w:ilvl="1" w:tplc="F49EEE62" w:tentative="1">
      <w:start w:val="1"/>
      <w:numFmt w:val="bullet"/>
      <w:lvlText w:val="•"/>
      <w:lvlJc w:val="left"/>
      <w:pPr>
        <w:tabs>
          <w:tab w:val="num" w:pos="1440"/>
        </w:tabs>
        <w:ind w:left="1440" w:hanging="360"/>
      </w:pPr>
      <w:rPr>
        <w:rFonts w:ascii="Arial" w:hAnsi="Arial" w:hint="default"/>
      </w:rPr>
    </w:lvl>
    <w:lvl w:ilvl="2" w:tplc="AAF04B38" w:tentative="1">
      <w:start w:val="1"/>
      <w:numFmt w:val="bullet"/>
      <w:lvlText w:val="•"/>
      <w:lvlJc w:val="left"/>
      <w:pPr>
        <w:tabs>
          <w:tab w:val="num" w:pos="2160"/>
        </w:tabs>
        <w:ind w:left="2160" w:hanging="360"/>
      </w:pPr>
      <w:rPr>
        <w:rFonts w:ascii="Arial" w:hAnsi="Arial" w:hint="default"/>
      </w:rPr>
    </w:lvl>
    <w:lvl w:ilvl="3" w:tplc="26342352" w:tentative="1">
      <w:start w:val="1"/>
      <w:numFmt w:val="bullet"/>
      <w:lvlText w:val="•"/>
      <w:lvlJc w:val="left"/>
      <w:pPr>
        <w:tabs>
          <w:tab w:val="num" w:pos="2880"/>
        </w:tabs>
        <w:ind w:left="2880" w:hanging="360"/>
      </w:pPr>
      <w:rPr>
        <w:rFonts w:ascii="Arial" w:hAnsi="Arial" w:hint="default"/>
      </w:rPr>
    </w:lvl>
    <w:lvl w:ilvl="4" w:tplc="5866D468" w:tentative="1">
      <w:start w:val="1"/>
      <w:numFmt w:val="bullet"/>
      <w:lvlText w:val="•"/>
      <w:lvlJc w:val="left"/>
      <w:pPr>
        <w:tabs>
          <w:tab w:val="num" w:pos="3600"/>
        </w:tabs>
        <w:ind w:left="3600" w:hanging="360"/>
      </w:pPr>
      <w:rPr>
        <w:rFonts w:ascii="Arial" w:hAnsi="Arial" w:hint="default"/>
      </w:rPr>
    </w:lvl>
    <w:lvl w:ilvl="5" w:tplc="23FA9CC4" w:tentative="1">
      <w:start w:val="1"/>
      <w:numFmt w:val="bullet"/>
      <w:lvlText w:val="•"/>
      <w:lvlJc w:val="left"/>
      <w:pPr>
        <w:tabs>
          <w:tab w:val="num" w:pos="4320"/>
        </w:tabs>
        <w:ind w:left="4320" w:hanging="360"/>
      </w:pPr>
      <w:rPr>
        <w:rFonts w:ascii="Arial" w:hAnsi="Arial" w:hint="default"/>
      </w:rPr>
    </w:lvl>
    <w:lvl w:ilvl="6" w:tplc="822A0CD2" w:tentative="1">
      <w:start w:val="1"/>
      <w:numFmt w:val="bullet"/>
      <w:lvlText w:val="•"/>
      <w:lvlJc w:val="left"/>
      <w:pPr>
        <w:tabs>
          <w:tab w:val="num" w:pos="5040"/>
        </w:tabs>
        <w:ind w:left="5040" w:hanging="360"/>
      </w:pPr>
      <w:rPr>
        <w:rFonts w:ascii="Arial" w:hAnsi="Arial" w:hint="default"/>
      </w:rPr>
    </w:lvl>
    <w:lvl w:ilvl="7" w:tplc="2C5073F0" w:tentative="1">
      <w:start w:val="1"/>
      <w:numFmt w:val="bullet"/>
      <w:lvlText w:val="•"/>
      <w:lvlJc w:val="left"/>
      <w:pPr>
        <w:tabs>
          <w:tab w:val="num" w:pos="5760"/>
        </w:tabs>
        <w:ind w:left="5760" w:hanging="360"/>
      </w:pPr>
      <w:rPr>
        <w:rFonts w:ascii="Arial" w:hAnsi="Arial" w:hint="default"/>
      </w:rPr>
    </w:lvl>
    <w:lvl w:ilvl="8" w:tplc="61266FD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BCB2487"/>
    <w:multiLevelType w:val="hybridMultilevel"/>
    <w:tmpl w:val="239C5C94"/>
    <w:lvl w:ilvl="0" w:tplc="0E1ED0DA">
      <w:start w:val="1"/>
      <w:numFmt w:val="bullet"/>
      <w:lvlText w:val="•"/>
      <w:lvlJc w:val="left"/>
      <w:pPr>
        <w:tabs>
          <w:tab w:val="num" w:pos="720"/>
        </w:tabs>
        <w:ind w:left="720" w:hanging="360"/>
      </w:pPr>
      <w:rPr>
        <w:rFonts w:ascii="Arial" w:hAnsi="Arial" w:hint="default"/>
      </w:rPr>
    </w:lvl>
    <w:lvl w:ilvl="1" w:tplc="E466D00C">
      <w:start w:val="1"/>
      <w:numFmt w:val="bullet"/>
      <w:lvlText w:val="•"/>
      <w:lvlJc w:val="left"/>
      <w:pPr>
        <w:tabs>
          <w:tab w:val="num" w:pos="1440"/>
        </w:tabs>
        <w:ind w:left="1440" w:hanging="360"/>
      </w:pPr>
      <w:rPr>
        <w:rFonts w:ascii="Arial" w:hAnsi="Arial" w:hint="default"/>
      </w:rPr>
    </w:lvl>
    <w:lvl w:ilvl="2" w:tplc="EF9CFA22">
      <w:numFmt w:val="bullet"/>
      <w:lvlText w:val="•"/>
      <w:lvlJc w:val="left"/>
      <w:pPr>
        <w:tabs>
          <w:tab w:val="num" w:pos="2160"/>
        </w:tabs>
        <w:ind w:left="2160" w:hanging="360"/>
      </w:pPr>
      <w:rPr>
        <w:rFonts w:ascii="Arial" w:hAnsi="Arial" w:hint="default"/>
      </w:rPr>
    </w:lvl>
    <w:lvl w:ilvl="3" w:tplc="85F6B236" w:tentative="1">
      <w:start w:val="1"/>
      <w:numFmt w:val="bullet"/>
      <w:lvlText w:val="•"/>
      <w:lvlJc w:val="left"/>
      <w:pPr>
        <w:tabs>
          <w:tab w:val="num" w:pos="2880"/>
        </w:tabs>
        <w:ind w:left="2880" w:hanging="360"/>
      </w:pPr>
      <w:rPr>
        <w:rFonts w:ascii="Arial" w:hAnsi="Arial" w:hint="default"/>
      </w:rPr>
    </w:lvl>
    <w:lvl w:ilvl="4" w:tplc="6B5628DE" w:tentative="1">
      <w:start w:val="1"/>
      <w:numFmt w:val="bullet"/>
      <w:lvlText w:val="•"/>
      <w:lvlJc w:val="left"/>
      <w:pPr>
        <w:tabs>
          <w:tab w:val="num" w:pos="3600"/>
        </w:tabs>
        <w:ind w:left="3600" w:hanging="360"/>
      </w:pPr>
      <w:rPr>
        <w:rFonts w:ascii="Arial" w:hAnsi="Arial" w:hint="default"/>
      </w:rPr>
    </w:lvl>
    <w:lvl w:ilvl="5" w:tplc="5A5290B4" w:tentative="1">
      <w:start w:val="1"/>
      <w:numFmt w:val="bullet"/>
      <w:lvlText w:val="•"/>
      <w:lvlJc w:val="left"/>
      <w:pPr>
        <w:tabs>
          <w:tab w:val="num" w:pos="4320"/>
        </w:tabs>
        <w:ind w:left="4320" w:hanging="360"/>
      </w:pPr>
      <w:rPr>
        <w:rFonts w:ascii="Arial" w:hAnsi="Arial" w:hint="default"/>
      </w:rPr>
    </w:lvl>
    <w:lvl w:ilvl="6" w:tplc="D982F264" w:tentative="1">
      <w:start w:val="1"/>
      <w:numFmt w:val="bullet"/>
      <w:lvlText w:val="•"/>
      <w:lvlJc w:val="left"/>
      <w:pPr>
        <w:tabs>
          <w:tab w:val="num" w:pos="5040"/>
        </w:tabs>
        <w:ind w:left="5040" w:hanging="360"/>
      </w:pPr>
      <w:rPr>
        <w:rFonts w:ascii="Arial" w:hAnsi="Arial" w:hint="default"/>
      </w:rPr>
    </w:lvl>
    <w:lvl w:ilvl="7" w:tplc="86F88134" w:tentative="1">
      <w:start w:val="1"/>
      <w:numFmt w:val="bullet"/>
      <w:lvlText w:val="•"/>
      <w:lvlJc w:val="left"/>
      <w:pPr>
        <w:tabs>
          <w:tab w:val="num" w:pos="5760"/>
        </w:tabs>
        <w:ind w:left="5760" w:hanging="360"/>
      </w:pPr>
      <w:rPr>
        <w:rFonts w:ascii="Arial" w:hAnsi="Arial" w:hint="default"/>
      </w:rPr>
    </w:lvl>
    <w:lvl w:ilvl="8" w:tplc="47B0B60A" w:tentative="1">
      <w:start w:val="1"/>
      <w:numFmt w:val="bullet"/>
      <w:lvlText w:val="•"/>
      <w:lvlJc w:val="left"/>
      <w:pPr>
        <w:tabs>
          <w:tab w:val="num" w:pos="6480"/>
        </w:tabs>
        <w:ind w:left="6480" w:hanging="360"/>
      </w:pPr>
      <w:rPr>
        <w:rFonts w:ascii="Arial" w:hAnsi="Arial" w:hint="default"/>
      </w:rPr>
    </w:lvl>
  </w:abstractNum>
  <w:num w:numId="1" w16cid:durableId="1521505964">
    <w:abstractNumId w:val="6"/>
  </w:num>
  <w:num w:numId="2" w16cid:durableId="717049038">
    <w:abstractNumId w:val="3"/>
  </w:num>
  <w:num w:numId="3" w16cid:durableId="1951206005">
    <w:abstractNumId w:val="2"/>
  </w:num>
  <w:num w:numId="4" w16cid:durableId="1450120576">
    <w:abstractNumId w:val="7"/>
  </w:num>
  <w:num w:numId="5" w16cid:durableId="1706326788">
    <w:abstractNumId w:val="1"/>
  </w:num>
  <w:num w:numId="6" w16cid:durableId="648678150">
    <w:abstractNumId w:val="9"/>
  </w:num>
  <w:num w:numId="7" w16cid:durableId="403994541">
    <w:abstractNumId w:val="8"/>
  </w:num>
  <w:num w:numId="8" w16cid:durableId="285619322">
    <w:abstractNumId w:val="5"/>
  </w:num>
  <w:num w:numId="9" w16cid:durableId="1670256469">
    <w:abstractNumId w:val="4"/>
  </w:num>
  <w:num w:numId="10" w16cid:durableId="5225236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C64"/>
    <w:rsid w:val="000021E0"/>
    <w:rsid w:val="00051F57"/>
    <w:rsid w:val="000B1F51"/>
    <w:rsid w:val="000F3832"/>
    <w:rsid w:val="00100E69"/>
    <w:rsid w:val="0013346C"/>
    <w:rsid w:val="00147A61"/>
    <w:rsid w:val="001C1C87"/>
    <w:rsid w:val="001C4DAB"/>
    <w:rsid w:val="001D74A2"/>
    <w:rsid w:val="00203CCB"/>
    <w:rsid w:val="00225C29"/>
    <w:rsid w:val="002B0766"/>
    <w:rsid w:val="004302A0"/>
    <w:rsid w:val="0050317E"/>
    <w:rsid w:val="0057457F"/>
    <w:rsid w:val="005A01A5"/>
    <w:rsid w:val="00600807"/>
    <w:rsid w:val="006022EF"/>
    <w:rsid w:val="00606C64"/>
    <w:rsid w:val="00615FB3"/>
    <w:rsid w:val="00686244"/>
    <w:rsid w:val="006C24EA"/>
    <w:rsid w:val="00763DFF"/>
    <w:rsid w:val="00774DBC"/>
    <w:rsid w:val="00787658"/>
    <w:rsid w:val="00803D37"/>
    <w:rsid w:val="00841751"/>
    <w:rsid w:val="00841FBF"/>
    <w:rsid w:val="008F3850"/>
    <w:rsid w:val="009321DD"/>
    <w:rsid w:val="00962906"/>
    <w:rsid w:val="009D2C02"/>
    <w:rsid w:val="009E4148"/>
    <w:rsid w:val="00A34FDC"/>
    <w:rsid w:val="00A36980"/>
    <w:rsid w:val="00A90AA6"/>
    <w:rsid w:val="00AF510A"/>
    <w:rsid w:val="00B4126D"/>
    <w:rsid w:val="00B4692D"/>
    <w:rsid w:val="00BA7116"/>
    <w:rsid w:val="00BB4045"/>
    <w:rsid w:val="00C533BC"/>
    <w:rsid w:val="00C73F69"/>
    <w:rsid w:val="00CB09D7"/>
    <w:rsid w:val="00CC12DA"/>
    <w:rsid w:val="00CE6F9C"/>
    <w:rsid w:val="00D7161A"/>
    <w:rsid w:val="00E424CF"/>
    <w:rsid w:val="00E46941"/>
    <w:rsid w:val="00EA7710"/>
    <w:rsid w:val="00F1161F"/>
    <w:rsid w:val="00F45FA3"/>
    <w:rsid w:val="00FA4358"/>
    <w:rsid w:val="00FC2A74"/>
    <w:rsid w:val="00FD270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2B75A"/>
  <w15:chartTrackingRefBased/>
  <w15:docId w15:val="{D33C3FCF-1D8B-4F2C-9ABB-7BBBECB20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116"/>
    <w:rPr>
      <w:rFonts w:ascii="Calibri" w:hAnsi="Calibri"/>
    </w:rPr>
  </w:style>
  <w:style w:type="paragraph" w:styleId="Heading1">
    <w:name w:val="heading 1"/>
    <w:basedOn w:val="Normal"/>
    <w:next w:val="Normal"/>
    <w:link w:val="Heading1Char"/>
    <w:uiPriority w:val="9"/>
    <w:qFormat/>
    <w:rsid w:val="008F3850"/>
    <w:pPr>
      <w:keepNext/>
      <w:keepLines/>
      <w:spacing w:before="360" w:after="80"/>
      <w:outlineLvl w:val="0"/>
    </w:pPr>
    <w:rPr>
      <w:rFonts w:eastAsiaTheme="majorEastAsia" w:cs="Calibri"/>
      <w:color w:val="0F4761" w:themeColor="accent1" w:themeShade="BF"/>
      <w:sz w:val="40"/>
      <w:szCs w:val="40"/>
    </w:rPr>
  </w:style>
  <w:style w:type="paragraph" w:styleId="Heading2">
    <w:name w:val="heading 2"/>
    <w:basedOn w:val="Normal"/>
    <w:next w:val="Normal"/>
    <w:link w:val="Heading2Char"/>
    <w:uiPriority w:val="9"/>
    <w:unhideWhenUsed/>
    <w:qFormat/>
    <w:rsid w:val="008F3850"/>
    <w:pPr>
      <w:keepNext/>
      <w:keepLines/>
      <w:spacing w:before="160" w:after="80"/>
      <w:outlineLvl w:val="1"/>
    </w:pPr>
    <w:rPr>
      <w:rFonts w:eastAsiaTheme="majorEastAsia" w:cs="Calibri"/>
      <w:color w:val="0F4761" w:themeColor="accent1" w:themeShade="BF"/>
      <w:sz w:val="32"/>
      <w:szCs w:val="32"/>
      <w:lang w:val="en-GB"/>
    </w:rPr>
  </w:style>
  <w:style w:type="paragraph" w:styleId="Heading3">
    <w:name w:val="heading 3"/>
    <w:basedOn w:val="Normal"/>
    <w:next w:val="Normal"/>
    <w:link w:val="Heading3Char"/>
    <w:uiPriority w:val="9"/>
    <w:semiHidden/>
    <w:unhideWhenUsed/>
    <w:qFormat/>
    <w:rsid w:val="00606C6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6C6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06C6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06C6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06C6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06C6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06C6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3850"/>
    <w:rPr>
      <w:rFonts w:ascii="Calibri" w:eastAsiaTheme="majorEastAsia" w:hAnsi="Calibri" w:cs="Calibri"/>
      <w:color w:val="0F4761" w:themeColor="accent1" w:themeShade="BF"/>
      <w:sz w:val="40"/>
      <w:szCs w:val="40"/>
    </w:rPr>
  </w:style>
  <w:style w:type="character" w:customStyle="1" w:styleId="Heading2Char">
    <w:name w:val="Heading 2 Char"/>
    <w:basedOn w:val="DefaultParagraphFont"/>
    <w:link w:val="Heading2"/>
    <w:uiPriority w:val="9"/>
    <w:rsid w:val="008F3850"/>
    <w:rPr>
      <w:rFonts w:ascii="Calibri" w:eastAsiaTheme="majorEastAsia" w:hAnsi="Calibri" w:cs="Calibr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606C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6C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6C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6C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6C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6C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6C64"/>
    <w:rPr>
      <w:rFonts w:eastAsiaTheme="majorEastAsia" w:cstheme="majorBidi"/>
      <w:color w:val="272727" w:themeColor="text1" w:themeTint="D8"/>
    </w:rPr>
  </w:style>
  <w:style w:type="paragraph" w:styleId="Title">
    <w:name w:val="Title"/>
    <w:basedOn w:val="Normal"/>
    <w:next w:val="Normal"/>
    <w:link w:val="TitleChar"/>
    <w:uiPriority w:val="10"/>
    <w:qFormat/>
    <w:rsid w:val="00606C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6C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6C6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6C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6C64"/>
    <w:pPr>
      <w:spacing w:before="160"/>
      <w:jc w:val="center"/>
    </w:pPr>
    <w:rPr>
      <w:i/>
      <w:iCs/>
      <w:color w:val="404040" w:themeColor="text1" w:themeTint="BF"/>
    </w:rPr>
  </w:style>
  <w:style w:type="character" w:customStyle="1" w:styleId="QuoteChar">
    <w:name w:val="Quote Char"/>
    <w:basedOn w:val="DefaultParagraphFont"/>
    <w:link w:val="Quote"/>
    <w:uiPriority w:val="29"/>
    <w:rsid w:val="00606C64"/>
    <w:rPr>
      <w:rFonts w:ascii="Calibri" w:hAnsi="Calibri"/>
      <w:i/>
      <w:iCs/>
      <w:color w:val="404040" w:themeColor="text1" w:themeTint="BF"/>
    </w:rPr>
  </w:style>
  <w:style w:type="paragraph" w:styleId="ListParagraph">
    <w:name w:val="List Paragraph"/>
    <w:basedOn w:val="Normal"/>
    <w:uiPriority w:val="34"/>
    <w:qFormat/>
    <w:rsid w:val="00606C64"/>
    <w:pPr>
      <w:ind w:left="720"/>
      <w:contextualSpacing/>
    </w:pPr>
  </w:style>
  <w:style w:type="character" w:styleId="IntenseEmphasis">
    <w:name w:val="Intense Emphasis"/>
    <w:basedOn w:val="DefaultParagraphFont"/>
    <w:uiPriority w:val="21"/>
    <w:qFormat/>
    <w:rsid w:val="00606C64"/>
    <w:rPr>
      <w:i/>
      <w:iCs/>
      <w:color w:val="0F4761" w:themeColor="accent1" w:themeShade="BF"/>
    </w:rPr>
  </w:style>
  <w:style w:type="paragraph" w:styleId="IntenseQuote">
    <w:name w:val="Intense Quote"/>
    <w:basedOn w:val="Normal"/>
    <w:next w:val="Normal"/>
    <w:link w:val="IntenseQuoteChar"/>
    <w:uiPriority w:val="30"/>
    <w:qFormat/>
    <w:rsid w:val="00606C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6C64"/>
    <w:rPr>
      <w:rFonts w:ascii="Calibri" w:hAnsi="Calibri"/>
      <w:i/>
      <w:iCs/>
      <w:color w:val="0F4761" w:themeColor="accent1" w:themeShade="BF"/>
    </w:rPr>
  </w:style>
  <w:style w:type="character" w:styleId="IntenseReference">
    <w:name w:val="Intense Reference"/>
    <w:basedOn w:val="DefaultParagraphFont"/>
    <w:uiPriority w:val="32"/>
    <w:qFormat/>
    <w:rsid w:val="00606C64"/>
    <w:rPr>
      <w:b/>
      <w:bCs/>
      <w:smallCaps/>
      <w:color w:val="0F4761" w:themeColor="accent1" w:themeShade="BF"/>
      <w:spacing w:val="5"/>
    </w:rPr>
  </w:style>
  <w:style w:type="character" w:styleId="Hyperlink">
    <w:name w:val="Hyperlink"/>
    <w:basedOn w:val="DefaultParagraphFont"/>
    <w:uiPriority w:val="99"/>
    <w:unhideWhenUsed/>
    <w:rsid w:val="00803D37"/>
    <w:rPr>
      <w:color w:val="467886" w:themeColor="hyperlink"/>
      <w:u w:val="single"/>
    </w:rPr>
  </w:style>
  <w:style w:type="character" w:styleId="UnresolvedMention">
    <w:name w:val="Unresolved Mention"/>
    <w:basedOn w:val="DefaultParagraphFont"/>
    <w:uiPriority w:val="99"/>
    <w:semiHidden/>
    <w:unhideWhenUsed/>
    <w:rsid w:val="00803D37"/>
    <w:rPr>
      <w:color w:val="605E5C"/>
      <w:shd w:val="clear" w:color="auto" w:fill="E1DFDD"/>
    </w:rPr>
  </w:style>
  <w:style w:type="paragraph" w:customStyle="1" w:styleId="EndNoteBibliography">
    <w:name w:val="EndNote Bibliography"/>
    <w:basedOn w:val="Normal"/>
    <w:link w:val="EndNoteBibliographyChar"/>
    <w:rsid w:val="00BB4045"/>
    <w:pPr>
      <w:spacing w:line="240" w:lineRule="auto"/>
    </w:pPr>
    <w:rPr>
      <w:rFonts w:eastAsiaTheme="majorEastAsia" w:cs="Calibri"/>
      <w:noProof/>
      <w:color w:val="0F4761" w:themeColor="accent1" w:themeShade="BF"/>
      <w:sz w:val="40"/>
      <w:szCs w:val="40"/>
      <w:lang w:val="en-US"/>
    </w:rPr>
  </w:style>
  <w:style w:type="character" w:customStyle="1" w:styleId="EndNoteBibliographyChar">
    <w:name w:val="EndNote Bibliography Char"/>
    <w:basedOn w:val="Heading1Char"/>
    <w:link w:val="EndNoteBibliography"/>
    <w:rsid w:val="00BB4045"/>
    <w:rPr>
      <w:rFonts w:ascii="Calibri" w:eastAsiaTheme="majorEastAsia" w:hAnsi="Calibri" w:cs="Calibri"/>
      <w:noProof/>
      <w:color w:val="0F4761" w:themeColor="accent1" w:themeShade="BF"/>
      <w:sz w:val="40"/>
      <w:szCs w:val="40"/>
      <w:lang w:val="en-US"/>
    </w:rPr>
  </w:style>
  <w:style w:type="paragraph" w:styleId="Header">
    <w:name w:val="header"/>
    <w:basedOn w:val="Normal"/>
    <w:link w:val="HeaderChar"/>
    <w:uiPriority w:val="99"/>
    <w:unhideWhenUsed/>
    <w:rsid w:val="00FC2A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2A74"/>
    <w:rPr>
      <w:rFonts w:ascii="Calibri" w:hAnsi="Calibri"/>
    </w:rPr>
  </w:style>
  <w:style w:type="paragraph" w:styleId="Footer">
    <w:name w:val="footer"/>
    <w:basedOn w:val="Normal"/>
    <w:link w:val="FooterChar"/>
    <w:uiPriority w:val="99"/>
    <w:unhideWhenUsed/>
    <w:rsid w:val="00FC2A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2A74"/>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7429364">
      <w:bodyDiv w:val="1"/>
      <w:marLeft w:val="0"/>
      <w:marRight w:val="0"/>
      <w:marTop w:val="0"/>
      <w:marBottom w:val="0"/>
      <w:divBdr>
        <w:top w:val="none" w:sz="0" w:space="0" w:color="auto"/>
        <w:left w:val="none" w:sz="0" w:space="0" w:color="auto"/>
        <w:bottom w:val="none" w:sz="0" w:space="0" w:color="auto"/>
        <w:right w:val="none" w:sz="0" w:space="0" w:color="auto"/>
      </w:divBdr>
    </w:div>
    <w:div w:id="281688015">
      <w:bodyDiv w:val="1"/>
      <w:marLeft w:val="0"/>
      <w:marRight w:val="0"/>
      <w:marTop w:val="0"/>
      <w:marBottom w:val="0"/>
      <w:divBdr>
        <w:top w:val="none" w:sz="0" w:space="0" w:color="auto"/>
        <w:left w:val="none" w:sz="0" w:space="0" w:color="auto"/>
        <w:bottom w:val="none" w:sz="0" w:space="0" w:color="auto"/>
        <w:right w:val="none" w:sz="0" w:space="0" w:color="auto"/>
      </w:divBdr>
      <w:divsChild>
        <w:div w:id="1454442323">
          <w:marLeft w:val="720"/>
          <w:marRight w:val="0"/>
          <w:marTop w:val="0"/>
          <w:marBottom w:val="120"/>
          <w:divBdr>
            <w:top w:val="none" w:sz="0" w:space="0" w:color="auto"/>
            <w:left w:val="none" w:sz="0" w:space="0" w:color="auto"/>
            <w:bottom w:val="none" w:sz="0" w:space="0" w:color="auto"/>
            <w:right w:val="none" w:sz="0" w:space="0" w:color="auto"/>
          </w:divBdr>
        </w:div>
        <w:div w:id="1154951668">
          <w:marLeft w:val="1339"/>
          <w:marRight w:val="0"/>
          <w:marTop w:val="0"/>
          <w:marBottom w:val="120"/>
          <w:divBdr>
            <w:top w:val="none" w:sz="0" w:space="0" w:color="auto"/>
            <w:left w:val="none" w:sz="0" w:space="0" w:color="auto"/>
            <w:bottom w:val="none" w:sz="0" w:space="0" w:color="auto"/>
            <w:right w:val="none" w:sz="0" w:space="0" w:color="auto"/>
          </w:divBdr>
        </w:div>
      </w:divsChild>
    </w:div>
    <w:div w:id="509493366">
      <w:bodyDiv w:val="1"/>
      <w:marLeft w:val="0"/>
      <w:marRight w:val="0"/>
      <w:marTop w:val="0"/>
      <w:marBottom w:val="0"/>
      <w:divBdr>
        <w:top w:val="none" w:sz="0" w:space="0" w:color="auto"/>
        <w:left w:val="none" w:sz="0" w:space="0" w:color="auto"/>
        <w:bottom w:val="none" w:sz="0" w:space="0" w:color="auto"/>
        <w:right w:val="none" w:sz="0" w:space="0" w:color="auto"/>
      </w:divBdr>
      <w:divsChild>
        <w:div w:id="1019968979">
          <w:marLeft w:val="720"/>
          <w:marRight w:val="0"/>
          <w:marTop w:val="0"/>
          <w:marBottom w:val="120"/>
          <w:divBdr>
            <w:top w:val="none" w:sz="0" w:space="0" w:color="auto"/>
            <w:left w:val="none" w:sz="0" w:space="0" w:color="auto"/>
            <w:bottom w:val="none" w:sz="0" w:space="0" w:color="auto"/>
            <w:right w:val="none" w:sz="0" w:space="0" w:color="auto"/>
          </w:divBdr>
        </w:div>
        <w:div w:id="1106198384">
          <w:marLeft w:val="1339"/>
          <w:marRight w:val="0"/>
          <w:marTop w:val="0"/>
          <w:marBottom w:val="120"/>
          <w:divBdr>
            <w:top w:val="none" w:sz="0" w:space="0" w:color="auto"/>
            <w:left w:val="none" w:sz="0" w:space="0" w:color="auto"/>
            <w:bottom w:val="none" w:sz="0" w:space="0" w:color="auto"/>
            <w:right w:val="none" w:sz="0" w:space="0" w:color="auto"/>
          </w:divBdr>
        </w:div>
        <w:div w:id="249701831">
          <w:marLeft w:val="720"/>
          <w:marRight w:val="0"/>
          <w:marTop w:val="0"/>
          <w:marBottom w:val="120"/>
          <w:divBdr>
            <w:top w:val="none" w:sz="0" w:space="0" w:color="auto"/>
            <w:left w:val="none" w:sz="0" w:space="0" w:color="auto"/>
            <w:bottom w:val="none" w:sz="0" w:space="0" w:color="auto"/>
            <w:right w:val="none" w:sz="0" w:space="0" w:color="auto"/>
          </w:divBdr>
        </w:div>
        <w:div w:id="1348561579">
          <w:marLeft w:val="1339"/>
          <w:marRight w:val="0"/>
          <w:marTop w:val="0"/>
          <w:marBottom w:val="120"/>
          <w:divBdr>
            <w:top w:val="none" w:sz="0" w:space="0" w:color="auto"/>
            <w:left w:val="none" w:sz="0" w:space="0" w:color="auto"/>
            <w:bottom w:val="none" w:sz="0" w:space="0" w:color="auto"/>
            <w:right w:val="none" w:sz="0" w:space="0" w:color="auto"/>
          </w:divBdr>
        </w:div>
        <w:div w:id="1603103058">
          <w:marLeft w:val="1339"/>
          <w:marRight w:val="0"/>
          <w:marTop w:val="0"/>
          <w:marBottom w:val="120"/>
          <w:divBdr>
            <w:top w:val="none" w:sz="0" w:space="0" w:color="auto"/>
            <w:left w:val="none" w:sz="0" w:space="0" w:color="auto"/>
            <w:bottom w:val="none" w:sz="0" w:space="0" w:color="auto"/>
            <w:right w:val="none" w:sz="0" w:space="0" w:color="auto"/>
          </w:divBdr>
        </w:div>
      </w:divsChild>
    </w:div>
    <w:div w:id="589973141">
      <w:bodyDiv w:val="1"/>
      <w:marLeft w:val="0"/>
      <w:marRight w:val="0"/>
      <w:marTop w:val="0"/>
      <w:marBottom w:val="0"/>
      <w:divBdr>
        <w:top w:val="none" w:sz="0" w:space="0" w:color="auto"/>
        <w:left w:val="none" w:sz="0" w:space="0" w:color="auto"/>
        <w:bottom w:val="none" w:sz="0" w:space="0" w:color="auto"/>
        <w:right w:val="none" w:sz="0" w:space="0" w:color="auto"/>
      </w:divBdr>
      <w:divsChild>
        <w:div w:id="1900749917">
          <w:marLeft w:val="720"/>
          <w:marRight w:val="0"/>
          <w:marTop w:val="0"/>
          <w:marBottom w:val="120"/>
          <w:divBdr>
            <w:top w:val="none" w:sz="0" w:space="0" w:color="auto"/>
            <w:left w:val="none" w:sz="0" w:space="0" w:color="auto"/>
            <w:bottom w:val="none" w:sz="0" w:space="0" w:color="auto"/>
            <w:right w:val="none" w:sz="0" w:space="0" w:color="auto"/>
          </w:divBdr>
        </w:div>
        <w:div w:id="1534223800">
          <w:marLeft w:val="720"/>
          <w:marRight w:val="0"/>
          <w:marTop w:val="0"/>
          <w:marBottom w:val="120"/>
          <w:divBdr>
            <w:top w:val="none" w:sz="0" w:space="0" w:color="auto"/>
            <w:left w:val="none" w:sz="0" w:space="0" w:color="auto"/>
            <w:bottom w:val="none" w:sz="0" w:space="0" w:color="auto"/>
            <w:right w:val="none" w:sz="0" w:space="0" w:color="auto"/>
          </w:divBdr>
        </w:div>
        <w:div w:id="1546603642">
          <w:marLeft w:val="720"/>
          <w:marRight w:val="0"/>
          <w:marTop w:val="0"/>
          <w:marBottom w:val="120"/>
          <w:divBdr>
            <w:top w:val="none" w:sz="0" w:space="0" w:color="auto"/>
            <w:left w:val="none" w:sz="0" w:space="0" w:color="auto"/>
            <w:bottom w:val="none" w:sz="0" w:space="0" w:color="auto"/>
            <w:right w:val="none" w:sz="0" w:space="0" w:color="auto"/>
          </w:divBdr>
        </w:div>
        <w:div w:id="1709794295">
          <w:marLeft w:val="720"/>
          <w:marRight w:val="0"/>
          <w:marTop w:val="0"/>
          <w:marBottom w:val="120"/>
          <w:divBdr>
            <w:top w:val="none" w:sz="0" w:space="0" w:color="auto"/>
            <w:left w:val="none" w:sz="0" w:space="0" w:color="auto"/>
            <w:bottom w:val="none" w:sz="0" w:space="0" w:color="auto"/>
            <w:right w:val="none" w:sz="0" w:space="0" w:color="auto"/>
          </w:divBdr>
        </w:div>
      </w:divsChild>
    </w:div>
    <w:div w:id="710687477">
      <w:bodyDiv w:val="1"/>
      <w:marLeft w:val="0"/>
      <w:marRight w:val="0"/>
      <w:marTop w:val="0"/>
      <w:marBottom w:val="0"/>
      <w:divBdr>
        <w:top w:val="none" w:sz="0" w:space="0" w:color="auto"/>
        <w:left w:val="none" w:sz="0" w:space="0" w:color="auto"/>
        <w:bottom w:val="none" w:sz="0" w:space="0" w:color="auto"/>
        <w:right w:val="none" w:sz="0" w:space="0" w:color="auto"/>
      </w:divBdr>
      <w:divsChild>
        <w:div w:id="1892840375">
          <w:marLeft w:val="720"/>
          <w:marRight w:val="0"/>
          <w:marTop w:val="0"/>
          <w:marBottom w:val="120"/>
          <w:divBdr>
            <w:top w:val="none" w:sz="0" w:space="0" w:color="auto"/>
            <w:left w:val="none" w:sz="0" w:space="0" w:color="auto"/>
            <w:bottom w:val="none" w:sz="0" w:space="0" w:color="auto"/>
            <w:right w:val="none" w:sz="0" w:space="0" w:color="auto"/>
          </w:divBdr>
        </w:div>
        <w:div w:id="1352491912">
          <w:marLeft w:val="720"/>
          <w:marRight w:val="0"/>
          <w:marTop w:val="0"/>
          <w:marBottom w:val="120"/>
          <w:divBdr>
            <w:top w:val="none" w:sz="0" w:space="0" w:color="auto"/>
            <w:left w:val="none" w:sz="0" w:space="0" w:color="auto"/>
            <w:bottom w:val="none" w:sz="0" w:space="0" w:color="auto"/>
            <w:right w:val="none" w:sz="0" w:space="0" w:color="auto"/>
          </w:divBdr>
        </w:div>
        <w:div w:id="167066989">
          <w:marLeft w:val="720"/>
          <w:marRight w:val="0"/>
          <w:marTop w:val="0"/>
          <w:marBottom w:val="120"/>
          <w:divBdr>
            <w:top w:val="none" w:sz="0" w:space="0" w:color="auto"/>
            <w:left w:val="none" w:sz="0" w:space="0" w:color="auto"/>
            <w:bottom w:val="none" w:sz="0" w:space="0" w:color="auto"/>
            <w:right w:val="none" w:sz="0" w:space="0" w:color="auto"/>
          </w:divBdr>
        </w:div>
      </w:divsChild>
    </w:div>
    <w:div w:id="784422041">
      <w:bodyDiv w:val="1"/>
      <w:marLeft w:val="0"/>
      <w:marRight w:val="0"/>
      <w:marTop w:val="0"/>
      <w:marBottom w:val="0"/>
      <w:divBdr>
        <w:top w:val="none" w:sz="0" w:space="0" w:color="auto"/>
        <w:left w:val="none" w:sz="0" w:space="0" w:color="auto"/>
        <w:bottom w:val="none" w:sz="0" w:space="0" w:color="auto"/>
        <w:right w:val="none" w:sz="0" w:space="0" w:color="auto"/>
      </w:divBdr>
      <w:divsChild>
        <w:div w:id="1186291185">
          <w:marLeft w:val="547"/>
          <w:marRight w:val="0"/>
          <w:marTop w:val="0"/>
          <w:marBottom w:val="120"/>
          <w:divBdr>
            <w:top w:val="none" w:sz="0" w:space="0" w:color="auto"/>
            <w:left w:val="none" w:sz="0" w:space="0" w:color="auto"/>
            <w:bottom w:val="none" w:sz="0" w:space="0" w:color="auto"/>
            <w:right w:val="none" w:sz="0" w:space="0" w:color="auto"/>
          </w:divBdr>
        </w:div>
        <w:div w:id="1906720698">
          <w:marLeft w:val="547"/>
          <w:marRight w:val="0"/>
          <w:marTop w:val="0"/>
          <w:marBottom w:val="120"/>
          <w:divBdr>
            <w:top w:val="none" w:sz="0" w:space="0" w:color="auto"/>
            <w:left w:val="none" w:sz="0" w:space="0" w:color="auto"/>
            <w:bottom w:val="none" w:sz="0" w:space="0" w:color="auto"/>
            <w:right w:val="none" w:sz="0" w:space="0" w:color="auto"/>
          </w:divBdr>
        </w:div>
        <w:div w:id="866454960">
          <w:marLeft w:val="547"/>
          <w:marRight w:val="0"/>
          <w:marTop w:val="0"/>
          <w:marBottom w:val="120"/>
          <w:divBdr>
            <w:top w:val="none" w:sz="0" w:space="0" w:color="auto"/>
            <w:left w:val="none" w:sz="0" w:space="0" w:color="auto"/>
            <w:bottom w:val="none" w:sz="0" w:space="0" w:color="auto"/>
            <w:right w:val="none" w:sz="0" w:space="0" w:color="auto"/>
          </w:divBdr>
        </w:div>
      </w:divsChild>
    </w:div>
    <w:div w:id="959411092">
      <w:bodyDiv w:val="1"/>
      <w:marLeft w:val="0"/>
      <w:marRight w:val="0"/>
      <w:marTop w:val="0"/>
      <w:marBottom w:val="0"/>
      <w:divBdr>
        <w:top w:val="none" w:sz="0" w:space="0" w:color="auto"/>
        <w:left w:val="none" w:sz="0" w:space="0" w:color="auto"/>
        <w:bottom w:val="none" w:sz="0" w:space="0" w:color="auto"/>
        <w:right w:val="none" w:sz="0" w:space="0" w:color="auto"/>
      </w:divBdr>
    </w:div>
    <w:div w:id="989165523">
      <w:bodyDiv w:val="1"/>
      <w:marLeft w:val="0"/>
      <w:marRight w:val="0"/>
      <w:marTop w:val="0"/>
      <w:marBottom w:val="0"/>
      <w:divBdr>
        <w:top w:val="none" w:sz="0" w:space="0" w:color="auto"/>
        <w:left w:val="none" w:sz="0" w:space="0" w:color="auto"/>
        <w:bottom w:val="none" w:sz="0" w:space="0" w:color="auto"/>
        <w:right w:val="none" w:sz="0" w:space="0" w:color="auto"/>
      </w:divBdr>
      <w:divsChild>
        <w:div w:id="357198471">
          <w:marLeft w:val="720"/>
          <w:marRight w:val="0"/>
          <w:marTop w:val="0"/>
          <w:marBottom w:val="120"/>
          <w:divBdr>
            <w:top w:val="none" w:sz="0" w:space="0" w:color="auto"/>
            <w:left w:val="none" w:sz="0" w:space="0" w:color="auto"/>
            <w:bottom w:val="none" w:sz="0" w:space="0" w:color="auto"/>
            <w:right w:val="none" w:sz="0" w:space="0" w:color="auto"/>
          </w:divBdr>
        </w:div>
        <w:div w:id="1698693569">
          <w:marLeft w:val="1339"/>
          <w:marRight w:val="0"/>
          <w:marTop w:val="0"/>
          <w:marBottom w:val="120"/>
          <w:divBdr>
            <w:top w:val="none" w:sz="0" w:space="0" w:color="auto"/>
            <w:left w:val="none" w:sz="0" w:space="0" w:color="auto"/>
            <w:bottom w:val="none" w:sz="0" w:space="0" w:color="auto"/>
            <w:right w:val="none" w:sz="0" w:space="0" w:color="auto"/>
          </w:divBdr>
        </w:div>
        <w:div w:id="912857658">
          <w:marLeft w:val="1339"/>
          <w:marRight w:val="0"/>
          <w:marTop w:val="0"/>
          <w:marBottom w:val="120"/>
          <w:divBdr>
            <w:top w:val="none" w:sz="0" w:space="0" w:color="auto"/>
            <w:left w:val="none" w:sz="0" w:space="0" w:color="auto"/>
            <w:bottom w:val="none" w:sz="0" w:space="0" w:color="auto"/>
            <w:right w:val="none" w:sz="0" w:space="0" w:color="auto"/>
          </w:divBdr>
        </w:div>
        <w:div w:id="26686512">
          <w:marLeft w:val="1339"/>
          <w:marRight w:val="0"/>
          <w:marTop w:val="0"/>
          <w:marBottom w:val="120"/>
          <w:divBdr>
            <w:top w:val="none" w:sz="0" w:space="0" w:color="auto"/>
            <w:left w:val="none" w:sz="0" w:space="0" w:color="auto"/>
            <w:bottom w:val="none" w:sz="0" w:space="0" w:color="auto"/>
            <w:right w:val="none" w:sz="0" w:space="0" w:color="auto"/>
          </w:divBdr>
        </w:div>
        <w:div w:id="1884903100">
          <w:marLeft w:val="720"/>
          <w:marRight w:val="0"/>
          <w:marTop w:val="0"/>
          <w:marBottom w:val="120"/>
          <w:divBdr>
            <w:top w:val="none" w:sz="0" w:space="0" w:color="auto"/>
            <w:left w:val="none" w:sz="0" w:space="0" w:color="auto"/>
            <w:bottom w:val="none" w:sz="0" w:space="0" w:color="auto"/>
            <w:right w:val="none" w:sz="0" w:space="0" w:color="auto"/>
          </w:divBdr>
        </w:div>
        <w:div w:id="1308631323">
          <w:marLeft w:val="720"/>
          <w:marRight w:val="0"/>
          <w:marTop w:val="0"/>
          <w:marBottom w:val="120"/>
          <w:divBdr>
            <w:top w:val="none" w:sz="0" w:space="0" w:color="auto"/>
            <w:left w:val="none" w:sz="0" w:space="0" w:color="auto"/>
            <w:bottom w:val="none" w:sz="0" w:space="0" w:color="auto"/>
            <w:right w:val="none" w:sz="0" w:space="0" w:color="auto"/>
          </w:divBdr>
        </w:div>
        <w:div w:id="589897201">
          <w:marLeft w:val="720"/>
          <w:marRight w:val="0"/>
          <w:marTop w:val="0"/>
          <w:marBottom w:val="120"/>
          <w:divBdr>
            <w:top w:val="none" w:sz="0" w:space="0" w:color="auto"/>
            <w:left w:val="none" w:sz="0" w:space="0" w:color="auto"/>
            <w:bottom w:val="none" w:sz="0" w:space="0" w:color="auto"/>
            <w:right w:val="none" w:sz="0" w:space="0" w:color="auto"/>
          </w:divBdr>
        </w:div>
      </w:divsChild>
    </w:div>
    <w:div w:id="990867334">
      <w:bodyDiv w:val="1"/>
      <w:marLeft w:val="0"/>
      <w:marRight w:val="0"/>
      <w:marTop w:val="0"/>
      <w:marBottom w:val="0"/>
      <w:divBdr>
        <w:top w:val="none" w:sz="0" w:space="0" w:color="auto"/>
        <w:left w:val="none" w:sz="0" w:space="0" w:color="auto"/>
        <w:bottom w:val="none" w:sz="0" w:space="0" w:color="auto"/>
        <w:right w:val="none" w:sz="0" w:space="0" w:color="auto"/>
      </w:divBdr>
    </w:div>
    <w:div w:id="1506627396">
      <w:bodyDiv w:val="1"/>
      <w:marLeft w:val="0"/>
      <w:marRight w:val="0"/>
      <w:marTop w:val="0"/>
      <w:marBottom w:val="0"/>
      <w:divBdr>
        <w:top w:val="none" w:sz="0" w:space="0" w:color="auto"/>
        <w:left w:val="none" w:sz="0" w:space="0" w:color="auto"/>
        <w:bottom w:val="none" w:sz="0" w:space="0" w:color="auto"/>
        <w:right w:val="none" w:sz="0" w:space="0" w:color="auto"/>
      </w:divBdr>
      <w:divsChild>
        <w:div w:id="1155026642">
          <w:marLeft w:val="720"/>
          <w:marRight w:val="0"/>
          <w:marTop w:val="0"/>
          <w:marBottom w:val="120"/>
          <w:divBdr>
            <w:top w:val="none" w:sz="0" w:space="0" w:color="auto"/>
            <w:left w:val="none" w:sz="0" w:space="0" w:color="auto"/>
            <w:bottom w:val="none" w:sz="0" w:space="0" w:color="auto"/>
            <w:right w:val="none" w:sz="0" w:space="0" w:color="auto"/>
          </w:divBdr>
        </w:div>
        <w:div w:id="1254783761">
          <w:marLeft w:val="1339"/>
          <w:marRight w:val="0"/>
          <w:marTop w:val="0"/>
          <w:marBottom w:val="120"/>
          <w:divBdr>
            <w:top w:val="none" w:sz="0" w:space="0" w:color="auto"/>
            <w:left w:val="none" w:sz="0" w:space="0" w:color="auto"/>
            <w:bottom w:val="none" w:sz="0" w:space="0" w:color="auto"/>
            <w:right w:val="none" w:sz="0" w:space="0" w:color="auto"/>
          </w:divBdr>
        </w:div>
        <w:div w:id="1474474">
          <w:marLeft w:val="1685"/>
          <w:marRight w:val="0"/>
          <w:marTop w:val="0"/>
          <w:marBottom w:val="120"/>
          <w:divBdr>
            <w:top w:val="none" w:sz="0" w:space="0" w:color="auto"/>
            <w:left w:val="none" w:sz="0" w:space="0" w:color="auto"/>
            <w:bottom w:val="none" w:sz="0" w:space="0" w:color="auto"/>
            <w:right w:val="none" w:sz="0" w:space="0" w:color="auto"/>
          </w:divBdr>
        </w:div>
      </w:divsChild>
    </w:div>
    <w:div w:id="1692874885">
      <w:bodyDiv w:val="1"/>
      <w:marLeft w:val="0"/>
      <w:marRight w:val="0"/>
      <w:marTop w:val="0"/>
      <w:marBottom w:val="0"/>
      <w:divBdr>
        <w:top w:val="none" w:sz="0" w:space="0" w:color="auto"/>
        <w:left w:val="none" w:sz="0" w:space="0" w:color="auto"/>
        <w:bottom w:val="none" w:sz="0" w:space="0" w:color="auto"/>
        <w:right w:val="none" w:sz="0" w:space="0" w:color="auto"/>
      </w:divBdr>
    </w:div>
    <w:div w:id="1789739385">
      <w:bodyDiv w:val="1"/>
      <w:marLeft w:val="0"/>
      <w:marRight w:val="0"/>
      <w:marTop w:val="0"/>
      <w:marBottom w:val="0"/>
      <w:divBdr>
        <w:top w:val="none" w:sz="0" w:space="0" w:color="auto"/>
        <w:left w:val="none" w:sz="0" w:space="0" w:color="auto"/>
        <w:bottom w:val="none" w:sz="0" w:space="0" w:color="auto"/>
        <w:right w:val="none" w:sz="0" w:space="0" w:color="auto"/>
      </w:divBdr>
      <w:divsChild>
        <w:div w:id="36781125">
          <w:marLeft w:val="720"/>
          <w:marRight w:val="0"/>
          <w:marTop w:val="0"/>
          <w:marBottom w:val="120"/>
          <w:divBdr>
            <w:top w:val="none" w:sz="0" w:space="0" w:color="auto"/>
            <w:left w:val="none" w:sz="0" w:space="0" w:color="auto"/>
            <w:bottom w:val="none" w:sz="0" w:space="0" w:color="auto"/>
            <w:right w:val="none" w:sz="0" w:space="0" w:color="auto"/>
          </w:divBdr>
        </w:div>
        <w:div w:id="989947916">
          <w:marLeft w:val="720"/>
          <w:marRight w:val="0"/>
          <w:marTop w:val="0"/>
          <w:marBottom w:val="120"/>
          <w:divBdr>
            <w:top w:val="none" w:sz="0" w:space="0" w:color="auto"/>
            <w:left w:val="none" w:sz="0" w:space="0" w:color="auto"/>
            <w:bottom w:val="none" w:sz="0" w:space="0" w:color="auto"/>
            <w:right w:val="none" w:sz="0" w:space="0" w:color="auto"/>
          </w:divBdr>
        </w:div>
        <w:div w:id="694035569">
          <w:marLeft w:val="1339"/>
          <w:marRight w:val="0"/>
          <w:marTop w:val="0"/>
          <w:marBottom w:val="120"/>
          <w:divBdr>
            <w:top w:val="none" w:sz="0" w:space="0" w:color="auto"/>
            <w:left w:val="none" w:sz="0" w:space="0" w:color="auto"/>
            <w:bottom w:val="none" w:sz="0" w:space="0" w:color="auto"/>
            <w:right w:val="none" w:sz="0" w:space="0" w:color="auto"/>
          </w:divBdr>
        </w:div>
        <w:div w:id="200485488">
          <w:marLeft w:val="1339"/>
          <w:marRight w:val="0"/>
          <w:marTop w:val="0"/>
          <w:marBottom w:val="120"/>
          <w:divBdr>
            <w:top w:val="none" w:sz="0" w:space="0" w:color="auto"/>
            <w:left w:val="none" w:sz="0" w:space="0" w:color="auto"/>
            <w:bottom w:val="none" w:sz="0" w:space="0" w:color="auto"/>
            <w:right w:val="none" w:sz="0" w:space="0" w:color="auto"/>
          </w:divBdr>
        </w:div>
        <w:div w:id="1374380294">
          <w:marLeft w:val="720"/>
          <w:marRight w:val="0"/>
          <w:marTop w:val="0"/>
          <w:marBottom w:val="120"/>
          <w:divBdr>
            <w:top w:val="none" w:sz="0" w:space="0" w:color="auto"/>
            <w:left w:val="none" w:sz="0" w:space="0" w:color="auto"/>
            <w:bottom w:val="none" w:sz="0" w:space="0" w:color="auto"/>
            <w:right w:val="none" w:sz="0" w:space="0" w:color="auto"/>
          </w:divBdr>
        </w:div>
        <w:div w:id="877862699">
          <w:marLeft w:val="720"/>
          <w:marRight w:val="0"/>
          <w:marTop w:val="0"/>
          <w:marBottom w:val="120"/>
          <w:divBdr>
            <w:top w:val="none" w:sz="0" w:space="0" w:color="auto"/>
            <w:left w:val="none" w:sz="0" w:space="0" w:color="auto"/>
            <w:bottom w:val="none" w:sz="0" w:space="0" w:color="auto"/>
            <w:right w:val="none" w:sz="0" w:space="0" w:color="auto"/>
          </w:divBdr>
        </w:div>
        <w:div w:id="1841499947">
          <w:marLeft w:val="1339"/>
          <w:marRight w:val="0"/>
          <w:marTop w:val="0"/>
          <w:marBottom w:val="120"/>
          <w:divBdr>
            <w:top w:val="none" w:sz="0" w:space="0" w:color="auto"/>
            <w:left w:val="none" w:sz="0" w:space="0" w:color="auto"/>
            <w:bottom w:val="none" w:sz="0" w:space="0" w:color="auto"/>
            <w:right w:val="none" w:sz="0" w:space="0" w:color="auto"/>
          </w:divBdr>
        </w:div>
      </w:divsChild>
    </w:div>
    <w:div w:id="1964387443">
      <w:bodyDiv w:val="1"/>
      <w:marLeft w:val="0"/>
      <w:marRight w:val="0"/>
      <w:marTop w:val="0"/>
      <w:marBottom w:val="0"/>
      <w:divBdr>
        <w:top w:val="none" w:sz="0" w:space="0" w:color="auto"/>
        <w:left w:val="none" w:sz="0" w:space="0" w:color="auto"/>
        <w:bottom w:val="none" w:sz="0" w:space="0" w:color="auto"/>
        <w:right w:val="none" w:sz="0" w:space="0" w:color="auto"/>
      </w:divBdr>
    </w:div>
    <w:div w:id="2062827721">
      <w:bodyDiv w:val="1"/>
      <w:marLeft w:val="0"/>
      <w:marRight w:val="0"/>
      <w:marTop w:val="0"/>
      <w:marBottom w:val="0"/>
      <w:divBdr>
        <w:top w:val="none" w:sz="0" w:space="0" w:color="auto"/>
        <w:left w:val="none" w:sz="0" w:space="0" w:color="auto"/>
        <w:bottom w:val="none" w:sz="0" w:space="0" w:color="auto"/>
        <w:right w:val="none" w:sz="0" w:space="0" w:color="auto"/>
      </w:divBdr>
      <w:divsChild>
        <w:div w:id="255941756">
          <w:marLeft w:val="720"/>
          <w:marRight w:val="0"/>
          <w:marTop w:val="0"/>
          <w:marBottom w:val="120"/>
          <w:divBdr>
            <w:top w:val="none" w:sz="0" w:space="0" w:color="auto"/>
            <w:left w:val="none" w:sz="0" w:space="0" w:color="auto"/>
            <w:bottom w:val="none" w:sz="0" w:space="0" w:color="auto"/>
            <w:right w:val="none" w:sz="0" w:space="0" w:color="auto"/>
          </w:divBdr>
        </w:div>
        <w:div w:id="620303283">
          <w:marLeft w:val="1339"/>
          <w:marRight w:val="0"/>
          <w:marTop w:val="0"/>
          <w:marBottom w:val="120"/>
          <w:divBdr>
            <w:top w:val="none" w:sz="0" w:space="0" w:color="auto"/>
            <w:left w:val="none" w:sz="0" w:space="0" w:color="auto"/>
            <w:bottom w:val="none" w:sz="0" w:space="0" w:color="auto"/>
            <w:right w:val="none" w:sz="0" w:space="0" w:color="auto"/>
          </w:divBdr>
        </w:div>
        <w:div w:id="1196187729">
          <w:marLeft w:val="720"/>
          <w:marRight w:val="0"/>
          <w:marTop w:val="0"/>
          <w:marBottom w:val="120"/>
          <w:divBdr>
            <w:top w:val="none" w:sz="0" w:space="0" w:color="auto"/>
            <w:left w:val="none" w:sz="0" w:space="0" w:color="auto"/>
            <w:bottom w:val="none" w:sz="0" w:space="0" w:color="auto"/>
            <w:right w:val="none" w:sz="0" w:space="0" w:color="auto"/>
          </w:divBdr>
        </w:div>
        <w:div w:id="2046834358">
          <w:marLeft w:val="1339"/>
          <w:marRight w:val="0"/>
          <w:marTop w:val="0"/>
          <w:marBottom w:val="120"/>
          <w:divBdr>
            <w:top w:val="none" w:sz="0" w:space="0" w:color="auto"/>
            <w:left w:val="none" w:sz="0" w:space="0" w:color="auto"/>
            <w:bottom w:val="none" w:sz="0" w:space="0" w:color="auto"/>
            <w:right w:val="none" w:sz="0" w:space="0" w:color="auto"/>
          </w:divBdr>
        </w:div>
        <w:div w:id="2140562032">
          <w:marLeft w:val="720"/>
          <w:marRight w:val="0"/>
          <w:marTop w:val="0"/>
          <w:marBottom w:val="120"/>
          <w:divBdr>
            <w:top w:val="none" w:sz="0" w:space="0" w:color="auto"/>
            <w:left w:val="none" w:sz="0" w:space="0" w:color="auto"/>
            <w:bottom w:val="none" w:sz="0" w:space="0" w:color="auto"/>
            <w:right w:val="none" w:sz="0" w:space="0" w:color="auto"/>
          </w:divBdr>
        </w:div>
        <w:div w:id="2095127150">
          <w:marLeft w:val="1339"/>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alitionforlanguagerights.org/" TargetMode="External"/><Relationship Id="rId13" Type="http://schemas.openxmlformats.org/officeDocument/2006/relationships/hyperlink" Target="mailto:j.martire@uqconnect.edu.au" TargetMode="External"/><Relationship Id="rId18" Type="http://schemas.openxmlformats.org/officeDocument/2006/relationships/hyperlink" Target="https://new.waccglobal.org/wp-content/uploads/2020/05/10communication_rights.5.pdf" TargetMode="External"/><Relationship Id="rId26" Type="http://schemas.openxmlformats.org/officeDocument/2006/relationships/hyperlink" Target="https://pen-international.org/who-we-are/manifestos/the-girona-manifesto-on-linguistic-rights/the-universal-declaration-on-linguistic-rights" TargetMode="External"/><Relationship Id="rId3" Type="http://schemas.openxmlformats.org/officeDocument/2006/relationships/settings" Target="settings.xml"/><Relationship Id="rId21" Type="http://schemas.openxmlformats.org/officeDocument/2006/relationships/hyperlink" Target="https://www.ohchr.org/en/instruments-mechanisms/instruments/declaration-rights-persons-belonging-national-or-ethnic" TargetMode="External"/><Relationship Id="rId7" Type="http://schemas.openxmlformats.org/officeDocument/2006/relationships/hyperlink" Target="mailto:j.martire@uqconnect.edu.au" TargetMode="External"/><Relationship Id="rId12" Type="http://schemas.openxmlformats.org/officeDocument/2006/relationships/hyperlink" Target="https://ogmios.org/" TargetMode="External"/><Relationship Id="rId17" Type="http://schemas.openxmlformats.org/officeDocument/2006/relationships/hyperlink" Target="https://doi.org/10.1075/wll.00072.iye" TargetMode="External"/><Relationship Id="rId25" Type="http://schemas.openxmlformats.org/officeDocument/2006/relationships/hyperlink" Target="https://www.ohchr.org/en/documents/tools-and-resources/language-rights-linguistic-minorities-practical-guide-implementation" TargetMode="External"/><Relationship Id="rId2" Type="http://schemas.openxmlformats.org/officeDocument/2006/relationships/styles" Target="styles.xml"/><Relationship Id="rId16" Type="http://schemas.openxmlformats.org/officeDocument/2006/relationships/hyperlink" Target="https://doi.org/0.1017/S0142716423000061" TargetMode="External"/><Relationship Id="rId20" Type="http://schemas.openxmlformats.org/officeDocument/2006/relationships/hyperlink" Target="https://minorityrights.org/resources/know-your-rights-a-community-guide-to-the-un-declaration-on-minorities/"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irstlanguages.org.au/" TargetMode="External"/><Relationship Id="rId24" Type="http://schemas.openxmlformats.org/officeDocument/2006/relationships/hyperlink" Target="https://onlinelibrary.wiley.com/doi/book/10.1002/9781119753926" TargetMode="External"/><Relationship Id="rId5" Type="http://schemas.openxmlformats.org/officeDocument/2006/relationships/footnotes" Target="footnotes.xml"/><Relationship Id="rId15" Type="http://schemas.openxmlformats.org/officeDocument/2006/relationships/hyperlink" Target="https://iceb.org/IPA-braille_print-ed_final.pdf" TargetMode="External"/><Relationship Id="rId23" Type="http://schemas.openxmlformats.org/officeDocument/2006/relationships/hyperlink" Target="https://pen-international.org/promoting-linguistic-rights/pens-girona-manifesto" TargetMode="External"/><Relationship Id="rId28" Type="http://schemas.openxmlformats.org/officeDocument/2006/relationships/footer" Target="footer1.xml"/><Relationship Id="rId10" Type="http://schemas.openxmlformats.org/officeDocument/2006/relationships/hyperlink" Target="https://www.endangeredalphabets.com/advocacy/" TargetMode="External"/><Relationship Id="rId19" Type="http://schemas.openxmlformats.org/officeDocument/2006/relationships/hyperlink" Target="https://doi.org/10.21832/9781788924016-016" TargetMode="External"/><Relationship Id="rId4" Type="http://schemas.openxmlformats.org/officeDocument/2006/relationships/webSettings" Target="webSettings.xml"/><Relationship Id="rId9" Type="http://schemas.openxmlformats.org/officeDocument/2006/relationships/hyperlink" Target="https://www.pen-international.org/what-we-do" TargetMode="External"/><Relationship Id="rId14" Type="http://schemas.openxmlformats.org/officeDocument/2006/relationships/hyperlink" Target="https://book.coe.int/en/regional-and-minority-languages/11727-pdf-european-charter-for-regional-or-minority-languages-collected-texts-3rd-edition.html" TargetMode="External"/><Relationship Id="rId22" Type="http://schemas.openxmlformats.org/officeDocument/2006/relationships/hyperlink" Target="https://www.ohchr.org/en/special-procedures/sr-minority-issues/about-mandate" TargetMode="External"/><Relationship Id="rId27" Type="http://schemas.openxmlformats.org/officeDocument/2006/relationships/hyperlink" Target="https://www.mass.gov/news/world-blind-union-statement-on-world-braille-day-celebrating-200-years-of-braille"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1968</Words>
  <Characters>11221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Jodie Lea Martire</dc:creator>
  <cp:keywords/>
  <dc:description/>
  <cp:lastModifiedBy>Jodie Lea Martire</cp:lastModifiedBy>
  <cp:revision>2</cp:revision>
  <dcterms:created xsi:type="dcterms:W3CDTF">2024-07-07T06:49:00Z</dcterms:created>
  <dcterms:modified xsi:type="dcterms:W3CDTF">2024-07-07T06:49:00Z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2024-06-30T22:53:35Z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55075d80-192f-4e9c-b7e9-e1ff68521b86</vt:lpwstr>
  </property>
  <property fmtid="{D5CDD505-2E9C-101B-9397-08002B2CF9AE}" pid="8" name="MSIP_Label_0f488380-630a-4f55-a077-a19445e3f360_ContentBits">
    <vt:lpwstr>0</vt:lpwstr>
  </property>
</Properties>
</file>